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Risk Management [FIN60143_]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Modulkoordinator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Santoni, Alessandro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Studiengang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Bachelor of Science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Studienabschnitt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7th semester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Moduldauer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 Semester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Pflicht- /Wahlpflichtmodul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Wahlpflicht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Credits: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Häufigkeit des Angebots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Jährlich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Sprache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Englisch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Workload: 150 h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Präsenz: 44 h Selbststudium: 106 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Voraussetzungen für Markets, Incentives and Ethical ManagementFinancial Markets die Teilnahme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Kurzbeschreibung / Lerninhalte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Financial markets are becoming ever more complex. The persistent crisis of the global financial system results in an increased need for experts and leaders to manage financial risks in a professional way. Topics covered will include: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Risk management objectives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Bank capital, risk management and regulation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Risk factors and risk mapping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Market Risk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Computing Value-at-Risk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Credit Risk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NPL, Coverage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Liquidity definitions and dimensions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Liquidity Risk in banking supervision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Funding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Leverage and Leverage Ratios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Advanced risk measures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Capital allocation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Fraud and money laundering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• Lesson Learnt from past mistakes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Case studies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HS-BSc-17 - Änderungen vorbehalten - 11 Stand (21/07/2020)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Qualifikationsziele / Lernergebnisse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Knowledge: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On successful completion of this module, students will have a thorough comprehension of the basic definitions, theories and concepts of risk management, i.e. they can: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• explain how to manage and hedge trading and banking book exposures,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• describe regulatory requirements,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recognize risk management as a means of determining a bank’s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profitability. Skills: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On successful completion of this module, students will have the proven ability to apply risk measurement and risk management concepts for bank management purposes, i.e. they are able to: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 compute various risk measures,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evaluate the impact of risk on prices for financial products and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services,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• draw up appropriate bank-wide risk management.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Competencies: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On successful completion of this module, students appreciate the importance of risk management in a financial institution and are capable of acting at the interface between risk managers and other bank departments.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Lernformen, Methodik Mix of short lectures with discussions in class. und Betreuung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Art der Prüfungsleistungen im Modul und Akkumulationspunkte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Type of Examination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Exam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Class Presentation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Duration or Length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120 minutes 120 minutes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Performance Points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90 30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Due date or date of exam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End of Semester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during the course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Literaturhinweise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 list will be provided before the start of the semester.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Key reference: https://www.bis.org/basel_framework/index.htm?m=3%7C14%7C697 Case studies will be distributed.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Modulstruktur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In this module students will develop deep understanding of the most important dimensions of risk and learn about advanced concepts how to measure and manage different type of risk.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Verwendbarkeit für andere Module und Programme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Bachelor Thesis (BSc_BT)All other modules of the thematic area FINANCE &amp; BANKING.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14.05.2020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Letztes Freigabedatum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