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6E860"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Title of the module</w:t>
      </w:r>
    </w:p>
    <w:p w14:paraId="54B94C45" w14:textId="07817025" w:rsidR="00694B52" w:rsidRPr="009D52D0" w:rsidRDefault="00363733" w:rsidP="00A05CF7">
      <w:pPr>
        <w:spacing w:after="120" w:line="240" w:lineRule="auto"/>
        <w:ind w:left="567" w:right="543"/>
        <w:jc w:val="both"/>
        <w:rPr>
          <w:rFonts w:ascii="Arial" w:hAnsi="Arial" w:cs="Arial"/>
          <w:sz w:val="24"/>
          <w:szCs w:val="24"/>
        </w:rPr>
      </w:pPr>
      <w:r w:rsidRPr="00363733">
        <w:rPr>
          <w:rFonts w:ascii="Arial" w:hAnsi="Arial" w:cs="Arial"/>
          <w:sz w:val="24"/>
          <w:szCs w:val="24"/>
        </w:rPr>
        <w:t>LING3040 (LL304) – Language, Self and Society</w:t>
      </w:r>
    </w:p>
    <w:p w14:paraId="63AFDCB7" w14:textId="77777777" w:rsidR="009A2D37" w:rsidRPr="009D52D0" w:rsidRDefault="007A49C1"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Division</w:t>
      </w:r>
      <w:r w:rsidR="009A2D37" w:rsidRPr="009D52D0">
        <w:rPr>
          <w:rFonts w:ascii="Arial" w:hAnsi="Arial" w:cs="Arial"/>
          <w:b/>
          <w:sz w:val="24"/>
          <w:szCs w:val="24"/>
        </w:rPr>
        <w:t xml:space="preserve"> or partner institution which will be responsible for management of the module</w:t>
      </w:r>
    </w:p>
    <w:p w14:paraId="3244FDF6" w14:textId="043F6F48" w:rsidR="00694B52" w:rsidRPr="00694B52" w:rsidRDefault="00CC3B7F" w:rsidP="00910059">
      <w:pPr>
        <w:spacing w:after="120" w:line="240" w:lineRule="auto"/>
        <w:ind w:left="567" w:right="543"/>
        <w:jc w:val="both"/>
        <w:rPr>
          <w:rFonts w:ascii="Arial" w:hAnsi="Arial" w:cs="Arial"/>
          <w:iCs/>
          <w:sz w:val="24"/>
          <w:szCs w:val="24"/>
        </w:rPr>
      </w:pPr>
      <w:r>
        <w:rPr>
          <w:rFonts w:ascii="Arial" w:hAnsi="Arial" w:cs="Arial"/>
          <w:iCs/>
          <w:sz w:val="24"/>
          <w:szCs w:val="24"/>
        </w:rPr>
        <w:t>Division of Arts &amp; Humanities</w:t>
      </w:r>
    </w:p>
    <w:p w14:paraId="1BCF96EB"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The level of the module (</w:t>
      </w:r>
      <w:r w:rsidR="00D83563" w:rsidRPr="009D52D0">
        <w:rPr>
          <w:rFonts w:ascii="Arial" w:hAnsi="Arial" w:cs="Arial"/>
          <w:b/>
          <w:sz w:val="24"/>
          <w:szCs w:val="24"/>
        </w:rPr>
        <w:t>Level</w:t>
      </w:r>
      <w:r w:rsidR="00441E76" w:rsidRPr="009D52D0">
        <w:rPr>
          <w:rFonts w:ascii="Arial" w:hAnsi="Arial" w:cs="Arial"/>
          <w:b/>
          <w:sz w:val="24"/>
          <w:szCs w:val="24"/>
        </w:rPr>
        <w:t xml:space="preserve"> 4</w:t>
      </w:r>
      <w:r w:rsidR="001D0C7D" w:rsidRPr="009D52D0">
        <w:rPr>
          <w:rFonts w:ascii="Arial" w:hAnsi="Arial" w:cs="Arial"/>
          <w:b/>
          <w:sz w:val="24"/>
          <w:szCs w:val="24"/>
        </w:rPr>
        <w:t xml:space="preserve">, </w:t>
      </w:r>
      <w:r w:rsidR="00441E76" w:rsidRPr="009D52D0">
        <w:rPr>
          <w:rFonts w:ascii="Arial" w:hAnsi="Arial" w:cs="Arial"/>
          <w:b/>
          <w:sz w:val="24"/>
          <w:szCs w:val="24"/>
        </w:rPr>
        <w:t>Level 5</w:t>
      </w:r>
      <w:r w:rsidR="001D0C7D" w:rsidRPr="009D52D0">
        <w:rPr>
          <w:rFonts w:ascii="Arial" w:hAnsi="Arial" w:cs="Arial"/>
          <w:b/>
          <w:sz w:val="24"/>
          <w:szCs w:val="24"/>
        </w:rPr>
        <w:t xml:space="preserve">, </w:t>
      </w:r>
      <w:r w:rsidR="00441E76" w:rsidRPr="009D52D0">
        <w:rPr>
          <w:rFonts w:ascii="Arial" w:hAnsi="Arial" w:cs="Arial"/>
          <w:b/>
          <w:sz w:val="24"/>
          <w:szCs w:val="24"/>
        </w:rPr>
        <w:t>Level 6</w:t>
      </w:r>
      <w:r w:rsidR="001D0C7D" w:rsidRPr="009D52D0">
        <w:rPr>
          <w:rFonts w:ascii="Arial" w:hAnsi="Arial" w:cs="Arial"/>
          <w:b/>
          <w:sz w:val="24"/>
          <w:szCs w:val="24"/>
        </w:rPr>
        <w:t xml:space="preserve"> or </w:t>
      </w:r>
      <w:r w:rsidR="00C612A8" w:rsidRPr="009D52D0">
        <w:rPr>
          <w:rFonts w:ascii="Arial" w:hAnsi="Arial" w:cs="Arial"/>
          <w:b/>
          <w:sz w:val="24"/>
          <w:szCs w:val="24"/>
        </w:rPr>
        <w:t>L</w:t>
      </w:r>
      <w:r w:rsidR="00441E76" w:rsidRPr="009D52D0">
        <w:rPr>
          <w:rFonts w:ascii="Arial" w:hAnsi="Arial" w:cs="Arial"/>
          <w:b/>
          <w:sz w:val="24"/>
          <w:szCs w:val="24"/>
        </w:rPr>
        <w:t>evel 7</w:t>
      </w:r>
      <w:r w:rsidR="009A2D37" w:rsidRPr="009D52D0">
        <w:rPr>
          <w:rFonts w:ascii="Arial" w:hAnsi="Arial" w:cs="Arial"/>
          <w:b/>
          <w:sz w:val="24"/>
          <w:szCs w:val="24"/>
        </w:rPr>
        <w:t>)</w:t>
      </w:r>
    </w:p>
    <w:p w14:paraId="1B902D0C" w14:textId="0488B864" w:rsidR="00694B52" w:rsidRPr="00694B52" w:rsidRDefault="00363733" w:rsidP="00910059">
      <w:pPr>
        <w:spacing w:after="120" w:line="240" w:lineRule="auto"/>
        <w:ind w:left="567" w:right="543"/>
        <w:jc w:val="both"/>
        <w:rPr>
          <w:rFonts w:ascii="Arial" w:hAnsi="Arial" w:cs="Arial"/>
          <w:iCs/>
          <w:sz w:val="24"/>
          <w:szCs w:val="24"/>
        </w:rPr>
      </w:pPr>
      <w:r>
        <w:rPr>
          <w:rFonts w:ascii="Arial" w:hAnsi="Arial" w:cs="Arial"/>
          <w:iCs/>
          <w:sz w:val="24"/>
          <w:szCs w:val="24"/>
        </w:rPr>
        <w:t>Level 4</w:t>
      </w:r>
    </w:p>
    <w:p w14:paraId="051CEB7F"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 xml:space="preserve">The number of credits and the ECTS value which the module represents </w:t>
      </w:r>
    </w:p>
    <w:p w14:paraId="5DB7C9AC" w14:textId="481CEAF9" w:rsidR="00694B52" w:rsidRPr="00694B52" w:rsidRDefault="00363733" w:rsidP="00910059">
      <w:pPr>
        <w:spacing w:after="120" w:line="240" w:lineRule="auto"/>
        <w:ind w:left="567" w:right="543"/>
        <w:rPr>
          <w:rFonts w:ascii="Arial" w:hAnsi="Arial" w:cs="Arial"/>
          <w:sz w:val="24"/>
          <w:szCs w:val="24"/>
        </w:rPr>
      </w:pPr>
      <w:r>
        <w:rPr>
          <w:rFonts w:ascii="Arial" w:hAnsi="Arial" w:cs="Arial"/>
          <w:sz w:val="24"/>
          <w:szCs w:val="24"/>
        </w:rPr>
        <w:t>15 Credits (7.5 ECTS)</w:t>
      </w:r>
    </w:p>
    <w:p w14:paraId="6EC0AA44"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Which term(s) the module is to be taught in (or other teaching pattern)</w:t>
      </w:r>
    </w:p>
    <w:p w14:paraId="6B38EED3" w14:textId="6BEE3EC6" w:rsidR="00694B52" w:rsidRPr="00694B52" w:rsidRDefault="00363733" w:rsidP="00910059">
      <w:pPr>
        <w:spacing w:after="120" w:line="240" w:lineRule="auto"/>
        <w:ind w:left="567" w:right="543"/>
        <w:rPr>
          <w:rFonts w:ascii="Arial" w:hAnsi="Arial" w:cs="Arial"/>
          <w:iCs/>
          <w:sz w:val="24"/>
          <w:szCs w:val="24"/>
        </w:rPr>
      </w:pPr>
      <w:r>
        <w:rPr>
          <w:rFonts w:ascii="Arial" w:hAnsi="Arial" w:cs="Arial"/>
          <w:iCs/>
          <w:sz w:val="24"/>
          <w:szCs w:val="24"/>
        </w:rPr>
        <w:t>Spring</w:t>
      </w:r>
    </w:p>
    <w:p w14:paraId="022EFBAF"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Prerequisite and co-requisite modules</w:t>
      </w:r>
    </w:p>
    <w:p w14:paraId="692E806E" w14:textId="7A2EB45E" w:rsidR="00694B52" w:rsidRPr="00694B52" w:rsidRDefault="00363733" w:rsidP="00910059">
      <w:pPr>
        <w:spacing w:after="120" w:line="240" w:lineRule="auto"/>
        <w:ind w:left="567" w:right="543"/>
        <w:rPr>
          <w:rFonts w:ascii="Arial" w:hAnsi="Arial" w:cs="Arial"/>
          <w:iCs/>
          <w:sz w:val="24"/>
          <w:szCs w:val="24"/>
        </w:rPr>
      </w:pPr>
      <w:r>
        <w:rPr>
          <w:rFonts w:ascii="Arial" w:hAnsi="Arial" w:cs="Arial"/>
          <w:iCs/>
          <w:sz w:val="24"/>
          <w:szCs w:val="24"/>
        </w:rPr>
        <w:t>None</w:t>
      </w:r>
    </w:p>
    <w:p w14:paraId="3801F8A4"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 xml:space="preserve">The </w:t>
      </w:r>
      <w:r w:rsidR="007A49C1" w:rsidRPr="009D52D0">
        <w:rPr>
          <w:rFonts w:ascii="Arial" w:hAnsi="Arial" w:cs="Arial"/>
          <w:b/>
          <w:sz w:val="24"/>
          <w:szCs w:val="24"/>
        </w:rPr>
        <w:t>course(s)</w:t>
      </w:r>
      <w:r w:rsidRPr="009D52D0">
        <w:rPr>
          <w:rFonts w:ascii="Arial" w:hAnsi="Arial" w:cs="Arial"/>
          <w:b/>
          <w:sz w:val="24"/>
          <w:szCs w:val="24"/>
        </w:rPr>
        <w:t xml:space="preserve"> of study to which the module contributes</w:t>
      </w:r>
    </w:p>
    <w:p w14:paraId="5DA8E9F2" w14:textId="77777777" w:rsidR="00363733" w:rsidRPr="00363733" w:rsidRDefault="00363733" w:rsidP="00363733">
      <w:pPr>
        <w:spacing w:after="120" w:line="240" w:lineRule="auto"/>
        <w:ind w:left="567" w:right="543"/>
        <w:rPr>
          <w:rFonts w:ascii="Arial" w:hAnsi="Arial" w:cs="Arial"/>
          <w:iCs/>
          <w:sz w:val="24"/>
          <w:szCs w:val="24"/>
        </w:rPr>
      </w:pPr>
      <w:r w:rsidRPr="00363733">
        <w:rPr>
          <w:rFonts w:ascii="Arial" w:hAnsi="Arial" w:cs="Arial"/>
          <w:iCs/>
          <w:sz w:val="24"/>
          <w:szCs w:val="24"/>
        </w:rPr>
        <w:t>Optional for BA English Language &amp; Linguistics (Single and Joint Honours)</w:t>
      </w:r>
    </w:p>
    <w:p w14:paraId="7CF71AFC" w14:textId="43D76C6F" w:rsidR="00694B52" w:rsidRPr="00694B52" w:rsidRDefault="00363733" w:rsidP="00363733">
      <w:pPr>
        <w:spacing w:after="120" w:line="240" w:lineRule="auto"/>
        <w:ind w:left="567" w:right="543"/>
        <w:rPr>
          <w:rFonts w:ascii="Arial" w:hAnsi="Arial" w:cs="Arial"/>
          <w:iCs/>
          <w:sz w:val="24"/>
          <w:szCs w:val="24"/>
        </w:rPr>
      </w:pPr>
      <w:r w:rsidRPr="00363733">
        <w:rPr>
          <w:rFonts w:ascii="Arial" w:hAnsi="Arial" w:cs="Arial"/>
          <w:iCs/>
          <w:sz w:val="24"/>
          <w:szCs w:val="24"/>
        </w:rPr>
        <w:t>Also available as a</w:t>
      </w:r>
      <w:r>
        <w:rPr>
          <w:rFonts w:ascii="Arial" w:hAnsi="Arial" w:cs="Arial"/>
          <w:iCs/>
          <w:sz w:val="24"/>
          <w:szCs w:val="24"/>
        </w:rPr>
        <w:t>n elective</w:t>
      </w:r>
      <w:r w:rsidRPr="00363733">
        <w:rPr>
          <w:rFonts w:ascii="Arial" w:hAnsi="Arial" w:cs="Arial"/>
          <w:iCs/>
          <w:sz w:val="24"/>
          <w:szCs w:val="24"/>
        </w:rPr>
        <w:t xml:space="preserve"> module</w:t>
      </w:r>
    </w:p>
    <w:p w14:paraId="2ED33EE4" w14:textId="77777777" w:rsidR="009A2D37" w:rsidRPr="009D52D0" w:rsidRDefault="009A2D37" w:rsidP="009D52D0">
      <w:pPr>
        <w:numPr>
          <w:ilvl w:val="0"/>
          <w:numId w:val="1"/>
        </w:numPr>
        <w:spacing w:after="120" w:line="240" w:lineRule="auto"/>
        <w:ind w:left="567" w:right="543" w:hanging="567"/>
        <w:rPr>
          <w:rFonts w:ascii="Arial" w:hAnsi="Arial" w:cs="Arial"/>
          <w:b/>
          <w:sz w:val="24"/>
          <w:szCs w:val="24"/>
        </w:rPr>
      </w:pPr>
      <w:r w:rsidRPr="009D52D0">
        <w:rPr>
          <w:rFonts w:ascii="Arial" w:hAnsi="Arial" w:cs="Arial"/>
          <w:b/>
          <w:sz w:val="24"/>
          <w:szCs w:val="24"/>
        </w:rPr>
        <w:t>The intended subject specific learning outcomes</w:t>
      </w:r>
      <w:r w:rsidR="00C729D7" w:rsidRPr="009D52D0">
        <w:rPr>
          <w:rFonts w:ascii="Arial" w:hAnsi="Arial" w:cs="Arial"/>
          <w:b/>
          <w:sz w:val="24"/>
          <w:szCs w:val="24"/>
        </w:rPr>
        <w:t>.</w:t>
      </w:r>
      <w:r w:rsidR="00C729D7" w:rsidRPr="009D52D0">
        <w:rPr>
          <w:rFonts w:ascii="Arial" w:hAnsi="Arial" w:cs="Arial"/>
          <w:b/>
          <w:sz w:val="24"/>
          <w:szCs w:val="24"/>
        </w:rPr>
        <w:br/>
        <w:t>On successfully completing the module students will be able to:</w:t>
      </w:r>
    </w:p>
    <w:p w14:paraId="2963030F" w14:textId="1F8FEB5E" w:rsidR="00CC3B7F" w:rsidRPr="00CC3B7F" w:rsidRDefault="00CC3B7F" w:rsidP="00CC3B7F">
      <w:pPr>
        <w:spacing w:after="120" w:line="240" w:lineRule="auto"/>
        <w:ind w:left="1430" w:right="543" w:hanging="550"/>
        <w:jc w:val="both"/>
        <w:rPr>
          <w:rFonts w:ascii="Arial" w:hAnsi="Arial" w:cs="Arial"/>
          <w:sz w:val="24"/>
          <w:szCs w:val="24"/>
        </w:rPr>
      </w:pPr>
      <w:bookmarkStart w:id="0" w:name="_Hlk53495454"/>
      <w:r w:rsidRPr="00CC3B7F">
        <w:rPr>
          <w:rFonts w:ascii="Arial" w:hAnsi="Arial" w:cs="Arial"/>
          <w:sz w:val="24"/>
          <w:szCs w:val="24"/>
        </w:rPr>
        <w:t>8.1</w:t>
      </w:r>
      <w:r w:rsidRPr="00CC3B7F">
        <w:rPr>
          <w:rFonts w:ascii="Arial" w:hAnsi="Arial" w:cs="Arial"/>
          <w:sz w:val="24"/>
          <w:szCs w:val="24"/>
        </w:rPr>
        <w:tab/>
      </w:r>
      <w:r w:rsidR="00363733" w:rsidRPr="00363733">
        <w:rPr>
          <w:rFonts w:ascii="Arial" w:hAnsi="Arial" w:cs="Arial"/>
          <w:sz w:val="24"/>
          <w:szCs w:val="24"/>
        </w:rPr>
        <w:t>Understand and use the basic conceptual terminology of sociolinguistics (e.g. variable, diglossia, code-switching, style, register, variety);</w:t>
      </w:r>
    </w:p>
    <w:p w14:paraId="56792C8A" w14:textId="672AB2C1"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8.2</w:t>
      </w:r>
      <w:r w:rsidRPr="00CC3B7F">
        <w:rPr>
          <w:rFonts w:ascii="Arial" w:hAnsi="Arial" w:cs="Arial"/>
          <w:sz w:val="24"/>
          <w:szCs w:val="24"/>
        </w:rPr>
        <w:tab/>
      </w:r>
      <w:r w:rsidR="00363733" w:rsidRPr="00363733">
        <w:rPr>
          <w:rFonts w:ascii="Arial" w:hAnsi="Arial" w:cs="Arial"/>
          <w:sz w:val="24"/>
          <w:szCs w:val="24"/>
        </w:rPr>
        <w:t>Show how language and social factors are inter-related;</w:t>
      </w:r>
    </w:p>
    <w:p w14:paraId="01AE9F06" w14:textId="55A085CC"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8.3</w:t>
      </w:r>
      <w:r w:rsidRPr="00CC3B7F">
        <w:rPr>
          <w:rFonts w:ascii="Arial" w:hAnsi="Arial" w:cs="Arial"/>
          <w:sz w:val="24"/>
          <w:szCs w:val="24"/>
        </w:rPr>
        <w:tab/>
      </w:r>
      <w:r w:rsidR="00363733" w:rsidRPr="00363733">
        <w:rPr>
          <w:rFonts w:ascii="Arial" w:hAnsi="Arial" w:cs="Arial"/>
          <w:sz w:val="24"/>
          <w:szCs w:val="24"/>
        </w:rPr>
        <w:t>Understand the significance of sociolinguistic data as presented in charts and graphs;</w:t>
      </w:r>
    </w:p>
    <w:p w14:paraId="23176A72" w14:textId="65FBBDE9"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8.4</w:t>
      </w:r>
      <w:r w:rsidRPr="00CC3B7F">
        <w:rPr>
          <w:rFonts w:ascii="Arial" w:hAnsi="Arial" w:cs="Arial"/>
          <w:sz w:val="24"/>
          <w:szCs w:val="24"/>
        </w:rPr>
        <w:tab/>
      </w:r>
      <w:r w:rsidR="00363733" w:rsidRPr="00363733">
        <w:rPr>
          <w:rFonts w:ascii="Arial" w:hAnsi="Arial" w:cs="Arial"/>
          <w:sz w:val="24"/>
          <w:szCs w:val="24"/>
        </w:rPr>
        <w:t>Evaluate critically the social bases for linguistic value judgements;</w:t>
      </w:r>
    </w:p>
    <w:p w14:paraId="7029D727" w14:textId="3CDDD472" w:rsidR="008D4447" w:rsidRPr="00CC3B7F" w:rsidRDefault="00CC3B7F" w:rsidP="00CC3B7F">
      <w:pPr>
        <w:spacing w:after="120" w:line="240" w:lineRule="auto"/>
        <w:ind w:left="1430" w:right="543" w:hanging="550"/>
        <w:jc w:val="both"/>
        <w:rPr>
          <w:rFonts w:ascii="Arial" w:hAnsi="Arial" w:cs="Arial"/>
          <w:b/>
          <w:sz w:val="24"/>
          <w:szCs w:val="24"/>
        </w:rPr>
      </w:pPr>
      <w:r w:rsidRPr="00CC3B7F">
        <w:rPr>
          <w:rFonts w:ascii="Arial" w:hAnsi="Arial" w:cs="Arial"/>
          <w:sz w:val="24"/>
          <w:szCs w:val="24"/>
        </w:rPr>
        <w:t>8.5</w:t>
      </w:r>
      <w:r w:rsidRPr="00CC3B7F">
        <w:rPr>
          <w:rFonts w:ascii="Arial" w:hAnsi="Arial" w:cs="Arial"/>
          <w:sz w:val="24"/>
          <w:szCs w:val="24"/>
        </w:rPr>
        <w:tab/>
      </w:r>
      <w:r w:rsidR="00363733" w:rsidRPr="00363733">
        <w:rPr>
          <w:rFonts w:ascii="Arial" w:hAnsi="Arial" w:cs="Arial"/>
          <w:sz w:val="24"/>
          <w:szCs w:val="24"/>
        </w:rPr>
        <w:t>Understand the technical (and ethical) problems of sociolinguistic data collection.</w:t>
      </w:r>
    </w:p>
    <w:bookmarkEnd w:id="0"/>
    <w:p w14:paraId="102FEAFB" w14:textId="77777777" w:rsidR="00C729D7" w:rsidRPr="009D52D0" w:rsidRDefault="009A2D37" w:rsidP="009D52D0">
      <w:pPr>
        <w:numPr>
          <w:ilvl w:val="0"/>
          <w:numId w:val="1"/>
        </w:numPr>
        <w:spacing w:after="120" w:line="240" w:lineRule="auto"/>
        <w:ind w:left="567" w:right="543" w:hanging="567"/>
        <w:rPr>
          <w:rFonts w:ascii="Arial" w:hAnsi="Arial" w:cs="Arial"/>
          <w:b/>
          <w:sz w:val="24"/>
          <w:szCs w:val="24"/>
        </w:rPr>
      </w:pPr>
      <w:r w:rsidRPr="009D52D0">
        <w:rPr>
          <w:rFonts w:ascii="Arial" w:hAnsi="Arial" w:cs="Arial"/>
          <w:b/>
          <w:sz w:val="24"/>
          <w:szCs w:val="24"/>
        </w:rPr>
        <w:t>The intended generic learning outcomes</w:t>
      </w:r>
      <w:r w:rsidR="00C729D7" w:rsidRPr="009D52D0">
        <w:rPr>
          <w:rFonts w:ascii="Arial" w:hAnsi="Arial" w:cs="Arial"/>
          <w:b/>
          <w:sz w:val="24"/>
          <w:szCs w:val="24"/>
        </w:rPr>
        <w:t>.</w:t>
      </w:r>
      <w:r w:rsidR="00C729D7" w:rsidRPr="009D52D0">
        <w:rPr>
          <w:rFonts w:ascii="Arial" w:hAnsi="Arial" w:cs="Arial"/>
          <w:b/>
          <w:sz w:val="24"/>
          <w:szCs w:val="24"/>
        </w:rPr>
        <w:br/>
        <w:t>On successfully completing the module students will be able to:</w:t>
      </w:r>
    </w:p>
    <w:p w14:paraId="60463F14" w14:textId="77777777" w:rsidR="00363733" w:rsidRPr="00363733" w:rsidRDefault="00A60A1D" w:rsidP="00363733">
      <w:pPr>
        <w:spacing w:after="120" w:line="240" w:lineRule="auto"/>
        <w:ind w:left="1430" w:right="543" w:hanging="550"/>
        <w:jc w:val="both"/>
        <w:rPr>
          <w:rFonts w:ascii="Arial" w:hAnsi="Arial" w:cs="Arial"/>
          <w:sz w:val="24"/>
          <w:szCs w:val="24"/>
        </w:rPr>
      </w:pPr>
      <w:r>
        <w:rPr>
          <w:rFonts w:ascii="Arial" w:hAnsi="Arial" w:cs="Arial"/>
          <w:sz w:val="24"/>
          <w:szCs w:val="24"/>
        </w:rPr>
        <w:t>9</w:t>
      </w:r>
      <w:r w:rsidR="00CC3B7F" w:rsidRPr="00CC3B7F">
        <w:rPr>
          <w:rFonts w:ascii="Arial" w:hAnsi="Arial" w:cs="Arial"/>
          <w:sz w:val="24"/>
          <w:szCs w:val="24"/>
        </w:rPr>
        <w:t>.1</w:t>
      </w:r>
      <w:r w:rsidR="00CC3B7F" w:rsidRPr="00CC3B7F">
        <w:rPr>
          <w:rFonts w:ascii="Arial" w:hAnsi="Arial" w:cs="Arial"/>
          <w:sz w:val="24"/>
          <w:szCs w:val="24"/>
        </w:rPr>
        <w:tab/>
      </w:r>
      <w:r w:rsidR="00363733" w:rsidRPr="00363733">
        <w:rPr>
          <w:rFonts w:ascii="Arial" w:hAnsi="Arial" w:cs="Arial"/>
          <w:sz w:val="24"/>
          <w:szCs w:val="24"/>
        </w:rPr>
        <w:t>Communicate the results of study and work accurately, with well-structured and coherent arguments in an effective and fluent manner both in speech and in writing, to a specialist and non-specialist audience;</w:t>
      </w:r>
    </w:p>
    <w:p w14:paraId="01EED6B5" w14:textId="77777777" w:rsidR="00363733" w:rsidRPr="00363733" w:rsidRDefault="00363733" w:rsidP="00363733">
      <w:pPr>
        <w:spacing w:after="120" w:line="240" w:lineRule="auto"/>
        <w:ind w:left="1430" w:right="543" w:hanging="550"/>
        <w:jc w:val="both"/>
        <w:rPr>
          <w:rFonts w:ascii="Arial" w:hAnsi="Arial" w:cs="Arial"/>
          <w:sz w:val="24"/>
          <w:szCs w:val="24"/>
        </w:rPr>
      </w:pPr>
      <w:r w:rsidRPr="00363733">
        <w:rPr>
          <w:rFonts w:ascii="Arial" w:hAnsi="Arial" w:cs="Arial"/>
          <w:sz w:val="24"/>
          <w:szCs w:val="24"/>
        </w:rPr>
        <w:t>9.2</w:t>
      </w:r>
      <w:r w:rsidRPr="00363733">
        <w:rPr>
          <w:rFonts w:ascii="Arial" w:hAnsi="Arial" w:cs="Arial"/>
          <w:sz w:val="24"/>
          <w:szCs w:val="24"/>
        </w:rPr>
        <w:tab/>
        <w:t>Evaluate and interpret data logically and systematically;</w:t>
      </w:r>
    </w:p>
    <w:p w14:paraId="42AF9B92" w14:textId="77777777" w:rsidR="00363733" w:rsidRPr="00363733" w:rsidRDefault="00363733" w:rsidP="00363733">
      <w:pPr>
        <w:spacing w:after="120" w:line="240" w:lineRule="auto"/>
        <w:ind w:left="1430" w:right="543" w:hanging="550"/>
        <w:jc w:val="both"/>
        <w:rPr>
          <w:rFonts w:ascii="Arial" w:hAnsi="Arial" w:cs="Arial"/>
          <w:sz w:val="24"/>
          <w:szCs w:val="24"/>
        </w:rPr>
      </w:pPr>
      <w:r w:rsidRPr="00363733">
        <w:rPr>
          <w:rFonts w:ascii="Arial" w:hAnsi="Arial" w:cs="Arial"/>
          <w:sz w:val="24"/>
          <w:szCs w:val="24"/>
        </w:rPr>
        <w:t>9.3</w:t>
      </w:r>
      <w:r w:rsidRPr="00363733">
        <w:rPr>
          <w:rFonts w:ascii="Arial" w:hAnsi="Arial" w:cs="Arial"/>
          <w:sz w:val="24"/>
          <w:szCs w:val="24"/>
        </w:rPr>
        <w:tab/>
        <w:t>Develop their ability to work cooperatively with others, exercising personal responsibility and sensitivity;</w:t>
      </w:r>
    </w:p>
    <w:p w14:paraId="65F00442" w14:textId="77777777" w:rsidR="00363733" w:rsidRPr="00363733" w:rsidRDefault="00363733" w:rsidP="00363733">
      <w:pPr>
        <w:spacing w:after="120" w:line="240" w:lineRule="auto"/>
        <w:ind w:left="1430" w:right="543" w:hanging="550"/>
        <w:jc w:val="both"/>
        <w:rPr>
          <w:rFonts w:ascii="Arial" w:hAnsi="Arial" w:cs="Arial"/>
          <w:sz w:val="24"/>
          <w:szCs w:val="24"/>
        </w:rPr>
      </w:pPr>
      <w:r w:rsidRPr="00363733">
        <w:rPr>
          <w:rFonts w:ascii="Arial" w:hAnsi="Arial" w:cs="Arial"/>
          <w:sz w:val="24"/>
          <w:szCs w:val="24"/>
        </w:rPr>
        <w:t>9.4</w:t>
      </w:r>
      <w:r w:rsidRPr="00363733">
        <w:rPr>
          <w:rFonts w:ascii="Arial" w:hAnsi="Arial" w:cs="Arial"/>
          <w:sz w:val="24"/>
          <w:szCs w:val="24"/>
        </w:rPr>
        <w:tab/>
        <w:t>Demonstrate their ability to undertake independent learning, by taking initiative, being organised and meeting deadlines;</w:t>
      </w:r>
    </w:p>
    <w:p w14:paraId="43E04F1D" w14:textId="77777777" w:rsidR="00363733" w:rsidRPr="00363733" w:rsidRDefault="00363733" w:rsidP="00363733">
      <w:pPr>
        <w:spacing w:after="120" w:line="240" w:lineRule="auto"/>
        <w:ind w:left="1430" w:right="543" w:hanging="550"/>
        <w:jc w:val="both"/>
        <w:rPr>
          <w:rFonts w:ascii="Arial" w:hAnsi="Arial" w:cs="Arial"/>
          <w:sz w:val="24"/>
          <w:szCs w:val="24"/>
        </w:rPr>
      </w:pPr>
      <w:r w:rsidRPr="00363733">
        <w:rPr>
          <w:rFonts w:ascii="Arial" w:hAnsi="Arial" w:cs="Arial"/>
          <w:sz w:val="24"/>
          <w:szCs w:val="24"/>
        </w:rPr>
        <w:t>9.5</w:t>
      </w:r>
      <w:r w:rsidRPr="00363733">
        <w:rPr>
          <w:rFonts w:ascii="Arial" w:hAnsi="Arial" w:cs="Arial"/>
          <w:sz w:val="24"/>
          <w:szCs w:val="24"/>
        </w:rPr>
        <w:tab/>
        <w:t>Use IT skills to present information effectively; develop and exchange relevant information through the use of shared access to documents and web-based learning;</w:t>
      </w:r>
    </w:p>
    <w:p w14:paraId="223D5195" w14:textId="0F47DE09" w:rsidR="008D4447" w:rsidRPr="00CC3B7F" w:rsidRDefault="00363733" w:rsidP="00363733">
      <w:pPr>
        <w:spacing w:after="120" w:line="240" w:lineRule="auto"/>
        <w:ind w:left="1430" w:right="543" w:hanging="550"/>
        <w:jc w:val="both"/>
        <w:rPr>
          <w:rFonts w:ascii="Arial" w:hAnsi="Arial" w:cs="Arial"/>
          <w:b/>
          <w:sz w:val="24"/>
          <w:szCs w:val="24"/>
        </w:rPr>
      </w:pPr>
      <w:r w:rsidRPr="00363733">
        <w:rPr>
          <w:rFonts w:ascii="Arial" w:hAnsi="Arial" w:cs="Arial"/>
          <w:sz w:val="24"/>
          <w:szCs w:val="24"/>
        </w:rPr>
        <w:lastRenderedPageBreak/>
        <w:t>9.6</w:t>
      </w:r>
      <w:r w:rsidRPr="00363733">
        <w:rPr>
          <w:rFonts w:ascii="Arial" w:hAnsi="Arial" w:cs="Arial"/>
          <w:sz w:val="24"/>
          <w:szCs w:val="24"/>
        </w:rPr>
        <w:tab/>
        <w:t>Summarise data and construct cogent arguments on the basis of findings.</w:t>
      </w:r>
      <w:r w:rsidR="00CC3B7F" w:rsidRPr="00CC3B7F">
        <w:rPr>
          <w:rFonts w:ascii="Arial" w:hAnsi="Arial" w:cs="Arial"/>
          <w:sz w:val="24"/>
          <w:szCs w:val="24"/>
        </w:rPr>
        <w:tab/>
      </w:r>
    </w:p>
    <w:p w14:paraId="256F87A3"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A synopsis of the curriculum</w:t>
      </w:r>
    </w:p>
    <w:p w14:paraId="160B3093" w14:textId="77777777" w:rsidR="00363733" w:rsidRPr="00363733" w:rsidRDefault="00363733" w:rsidP="00363733">
      <w:pPr>
        <w:spacing w:after="120" w:line="240" w:lineRule="auto"/>
        <w:ind w:left="567" w:right="543"/>
        <w:jc w:val="both"/>
        <w:rPr>
          <w:rFonts w:ascii="Arial" w:hAnsi="Arial" w:cs="Arial"/>
          <w:iCs/>
          <w:sz w:val="24"/>
          <w:szCs w:val="24"/>
        </w:rPr>
      </w:pPr>
      <w:r w:rsidRPr="00363733">
        <w:rPr>
          <w:rFonts w:ascii="Arial" w:hAnsi="Arial" w:cs="Arial"/>
          <w:iCs/>
          <w:sz w:val="24"/>
          <w:szCs w:val="24"/>
        </w:rPr>
        <w:t>The course offers an introduction to major themes in sociolinguistics. It will begin by exploring how our notions of ‘language’, ‘dialect’ or ‘style’ are constructed, and from there explore notions of ‘correctness’ in language, and their origins. It will then consider how social relationships are reflected and encoded in different languages, for example in kinship terms, terms of address, or politeness forms, and how individuals are placed – or place themselves – socially through their linguistic choices.</w:t>
      </w:r>
    </w:p>
    <w:p w14:paraId="73EF99CC" w14:textId="465321BD" w:rsidR="008D4447" w:rsidRPr="008D4447" w:rsidRDefault="00363733" w:rsidP="00363733">
      <w:pPr>
        <w:spacing w:after="120" w:line="240" w:lineRule="auto"/>
        <w:ind w:left="567" w:right="543"/>
        <w:jc w:val="both"/>
        <w:rPr>
          <w:rFonts w:ascii="Arial" w:hAnsi="Arial" w:cs="Arial"/>
          <w:iCs/>
          <w:sz w:val="24"/>
          <w:szCs w:val="24"/>
        </w:rPr>
      </w:pPr>
      <w:r w:rsidRPr="00363733">
        <w:rPr>
          <w:rFonts w:ascii="Arial" w:hAnsi="Arial" w:cs="Arial"/>
          <w:iCs/>
          <w:sz w:val="24"/>
          <w:szCs w:val="24"/>
        </w:rPr>
        <w:t>The middle part of the module will explore language variation and change, and the social parameters which correlate with them. It will conclude by analysing issues arising from the interplay between language and identity in multilingual societies: bi- and multilingualism, code-switching, language death and its causes, language revival and language revitalisation.</w:t>
      </w:r>
    </w:p>
    <w:p w14:paraId="49EC2E21"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Reading l</w:t>
      </w:r>
      <w:r w:rsidR="009A2D37" w:rsidRPr="009D52D0">
        <w:rPr>
          <w:rFonts w:ascii="Arial" w:hAnsi="Arial" w:cs="Arial"/>
          <w:b/>
          <w:sz w:val="24"/>
          <w:szCs w:val="24"/>
        </w:rPr>
        <w:t xml:space="preserve">ist </w:t>
      </w:r>
      <w:r w:rsidR="00274ED7" w:rsidRPr="009D52D0">
        <w:rPr>
          <w:rFonts w:ascii="Arial" w:hAnsi="Arial" w:cs="Arial"/>
          <w:b/>
          <w:sz w:val="24"/>
          <w:szCs w:val="24"/>
        </w:rPr>
        <w:t>(Indicative list, current at time of publication. Reading lists will be published annually)</w:t>
      </w:r>
    </w:p>
    <w:p w14:paraId="20D43148" w14:textId="53F51736" w:rsidR="00363733" w:rsidRPr="00363733" w:rsidRDefault="00363733" w:rsidP="00363733">
      <w:pPr>
        <w:spacing w:after="120" w:line="240" w:lineRule="auto"/>
        <w:ind w:left="567" w:right="543"/>
        <w:jc w:val="both"/>
        <w:rPr>
          <w:rFonts w:ascii="Arial" w:hAnsi="Arial" w:cs="Arial"/>
          <w:bCs/>
          <w:sz w:val="24"/>
          <w:szCs w:val="24"/>
        </w:rPr>
      </w:pPr>
      <w:r w:rsidRPr="00363733">
        <w:rPr>
          <w:rFonts w:ascii="Arial" w:hAnsi="Arial" w:cs="Arial"/>
          <w:bCs/>
          <w:sz w:val="24"/>
          <w:szCs w:val="24"/>
        </w:rPr>
        <w:t>Blake, B. (2008)</w:t>
      </w:r>
      <w:r>
        <w:rPr>
          <w:rFonts w:ascii="Arial" w:hAnsi="Arial" w:cs="Arial"/>
          <w:bCs/>
          <w:sz w:val="24"/>
          <w:szCs w:val="24"/>
        </w:rPr>
        <w:t>.</w:t>
      </w:r>
      <w:r w:rsidRPr="00363733">
        <w:rPr>
          <w:rFonts w:ascii="Arial" w:hAnsi="Arial" w:cs="Arial"/>
          <w:bCs/>
          <w:sz w:val="24"/>
          <w:szCs w:val="24"/>
        </w:rPr>
        <w:t xml:space="preserve"> </w:t>
      </w:r>
      <w:r w:rsidRPr="00363733">
        <w:rPr>
          <w:rFonts w:ascii="Arial" w:hAnsi="Arial" w:cs="Arial"/>
          <w:bCs/>
          <w:i/>
          <w:sz w:val="24"/>
          <w:szCs w:val="24"/>
        </w:rPr>
        <w:t>All About Language</w:t>
      </w:r>
      <w:r w:rsidRPr="00363733">
        <w:rPr>
          <w:rFonts w:ascii="Arial" w:hAnsi="Arial" w:cs="Arial"/>
          <w:bCs/>
          <w:sz w:val="24"/>
          <w:szCs w:val="24"/>
        </w:rPr>
        <w:t>. Oxford: Oxford University Press.</w:t>
      </w:r>
    </w:p>
    <w:p w14:paraId="0773587F" w14:textId="4DDCDB40" w:rsidR="00363733" w:rsidRPr="00363733" w:rsidRDefault="00363733" w:rsidP="00363733">
      <w:pPr>
        <w:spacing w:after="120" w:line="240" w:lineRule="auto"/>
        <w:ind w:left="567" w:right="543"/>
        <w:jc w:val="both"/>
        <w:rPr>
          <w:rFonts w:ascii="Arial" w:hAnsi="Arial" w:cs="Arial"/>
          <w:bCs/>
          <w:sz w:val="24"/>
          <w:szCs w:val="24"/>
        </w:rPr>
      </w:pPr>
      <w:proofErr w:type="spellStart"/>
      <w:r w:rsidRPr="00363733">
        <w:rPr>
          <w:rFonts w:ascii="Arial" w:hAnsi="Arial" w:cs="Arial"/>
          <w:bCs/>
          <w:sz w:val="24"/>
          <w:szCs w:val="24"/>
        </w:rPr>
        <w:t>Fasold</w:t>
      </w:r>
      <w:proofErr w:type="spellEnd"/>
      <w:r w:rsidRPr="00363733">
        <w:rPr>
          <w:rFonts w:ascii="Arial" w:hAnsi="Arial" w:cs="Arial"/>
          <w:bCs/>
          <w:sz w:val="24"/>
          <w:szCs w:val="24"/>
        </w:rPr>
        <w:t>, R. (2004)</w:t>
      </w:r>
      <w:r>
        <w:rPr>
          <w:rFonts w:ascii="Arial" w:hAnsi="Arial" w:cs="Arial"/>
          <w:bCs/>
          <w:sz w:val="24"/>
          <w:szCs w:val="24"/>
        </w:rPr>
        <w:t>.</w:t>
      </w:r>
      <w:r w:rsidRPr="00363733">
        <w:rPr>
          <w:rFonts w:ascii="Arial" w:hAnsi="Arial" w:cs="Arial"/>
          <w:bCs/>
          <w:sz w:val="24"/>
          <w:szCs w:val="24"/>
        </w:rPr>
        <w:t xml:space="preserve"> </w:t>
      </w:r>
      <w:r w:rsidRPr="00363733">
        <w:rPr>
          <w:rFonts w:ascii="Arial" w:hAnsi="Arial" w:cs="Arial"/>
          <w:bCs/>
          <w:i/>
          <w:sz w:val="24"/>
          <w:szCs w:val="24"/>
        </w:rPr>
        <w:t>The Sociolinguistics of Society</w:t>
      </w:r>
      <w:r w:rsidRPr="00363733">
        <w:rPr>
          <w:rFonts w:ascii="Arial" w:hAnsi="Arial" w:cs="Arial"/>
          <w:bCs/>
          <w:sz w:val="24"/>
          <w:szCs w:val="24"/>
        </w:rPr>
        <w:t>. Oxford: Blackwell.</w:t>
      </w:r>
    </w:p>
    <w:p w14:paraId="6F16C298" w14:textId="3057F0E4" w:rsidR="00363733" w:rsidRPr="00363733" w:rsidRDefault="00363733" w:rsidP="00363733">
      <w:pPr>
        <w:spacing w:after="120" w:line="240" w:lineRule="auto"/>
        <w:ind w:left="567" w:right="543"/>
        <w:jc w:val="both"/>
        <w:rPr>
          <w:rFonts w:ascii="Arial" w:hAnsi="Arial" w:cs="Arial"/>
          <w:bCs/>
          <w:sz w:val="24"/>
          <w:szCs w:val="24"/>
        </w:rPr>
      </w:pPr>
      <w:r w:rsidRPr="00363733">
        <w:rPr>
          <w:rFonts w:ascii="Arial" w:hAnsi="Arial" w:cs="Arial"/>
          <w:bCs/>
          <w:sz w:val="24"/>
          <w:szCs w:val="24"/>
        </w:rPr>
        <w:t>Milroy, L. &amp; M. Gordon (2003)</w:t>
      </w:r>
      <w:r>
        <w:rPr>
          <w:rFonts w:ascii="Arial" w:hAnsi="Arial" w:cs="Arial"/>
          <w:bCs/>
          <w:sz w:val="24"/>
          <w:szCs w:val="24"/>
        </w:rPr>
        <w:t>.</w:t>
      </w:r>
      <w:r w:rsidRPr="00363733">
        <w:rPr>
          <w:rFonts w:ascii="Arial" w:hAnsi="Arial" w:cs="Arial"/>
          <w:bCs/>
          <w:sz w:val="24"/>
          <w:szCs w:val="24"/>
        </w:rPr>
        <w:t xml:space="preserve"> </w:t>
      </w:r>
      <w:r w:rsidRPr="00363733">
        <w:rPr>
          <w:rFonts w:ascii="Arial" w:hAnsi="Arial" w:cs="Arial"/>
          <w:bCs/>
          <w:i/>
          <w:sz w:val="24"/>
          <w:szCs w:val="24"/>
        </w:rPr>
        <w:t>Sociolinguistics: Method and Interpretation</w:t>
      </w:r>
      <w:r w:rsidRPr="00363733">
        <w:rPr>
          <w:rFonts w:ascii="Arial" w:hAnsi="Arial" w:cs="Arial"/>
          <w:bCs/>
          <w:sz w:val="24"/>
          <w:szCs w:val="24"/>
        </w:rPr>
        <w:t>. Oxford: Blackwell.</w:t>
      </w:r>
    </w:p>
    <w:p w14:paraId="573445D7" w14:textId="5190BA3D" w:rsidR="00363733" w:rsidRPr="00363733" w:rsidRDefault="00363733" w:rsidP="00363733">
      <w:pPr>
        <w:spacing w:after="120" w:line="240" w:lineRule="auto"/>
        <w:ind w:left="567" w:right="543"/>
        <w:jc w:val="both"/>
        <w:rPr>
          <w:rFonts w:ascii="Arial" w:hAnsi="Arial" w:cs="Arial"/>
          <w:bCs/>
          <w:sz w:val="24"/>
          <w:szCs w:val="24"/>
        </w:rPr>
      </w:pPr>
      <w:proofErr w:type="spellStart"/>
      <w:r w:rsidRPr="00363733">
        <w:rPr>
          <w:rFonts w:ascii="Arial" w:hAnsi="Arial" w:cs="Arial"/>
          <w:bCs/>
          <w:sz w:val="24"/>
          <w:szCs w:val="24"/>
        </w:rPr>
        <w:t>Wardhaugh</w:t>
      </w:r>
      <w:proofErr w:type="spellEnd"/>
      <w:r w:rsidRPr="00363733">
        <w:rPr>
          <w:rFonts w:ascii="Arial" w:hAnsi="Arial" w:cs="Arial"/>
          <w:bCs/>
          <w:sz w:val="24"/>
          <w:szCs w:val="24"/>
        </w:rPr>
        <w:t>, R. &amp; J. Fuller (2015)</w:t>
      </w:r>
      <w:r>
        <w:rPr>
          <w:rFonts w:ascii="Arial" w:hAnsi="Arial" w:cs="Arial"/>
          <w:bCs/>
          <w:sz w:val="24"/>
          <w:szCs w:val="24"/>
        </w:rPr>
        <w:t>.</w:t>
      </w:r>
      <w:r w:rsidRPr="00363733">
        <w:rPr>
          <w:rFonts w:ascii="Arial" w:hAnsi="Arial" w:cs="Arial"/>
          <w:bCs/>
          <w:sz w:val="24"/>
          <w:szCs w:val="24"/>
        </w:rPr>
        <w:t xml:space="preserve"> </w:t>
      </w:r>
      <w:r w:rsidRPr="00363733">
        <w:rPr>
          <w:rFonts w:ascii="Arial" w:hAnsi="Arial" w:cs="Arial"/>
          <w:bCs/>
          <w:i/>
          <w:sz w:val="24"/>
          <w:szCs w:val="24"/>
        </w:rPr>
        <w:t xml:space="preserve">An Introduction to Sociolinguistics </w:t>
      </w:r>
      <w:r w:rsidRPr="00363733">
        <w:rPr>
          <w:rFonts w:ascii="Arial" w:hAnsi="Arial" w:cs="Arial"/>
          <w:bCs/>
          <w:sz w:val="24"/>
          <w:szCs w:val="24"/>
        </w:rPr>
        <w:t xml:space="preserve">(Seventh edition). Oxford: Wiley. </w:t>
      </w:r>
    </w:p>
    <w:p w14:paraId="5102DE7A" w14:textId="47F2219A" w:rsidR="008D4447" w:rsidRPr="00A05CF7" w:rsidRDefault="00363733" w:rsidP="00363733">
      <w:pPr>
        <w:spacing w:after="120" w:line="240" w:lineRule="auto"/>
        <w:ind w:left="567" w:right="543"/>
        <w:jc w:val="both"/>
        <w:rPr>
          <w:rFonts w:ascii="Arial" w:hAnsi="Arial" w:cs="Arial"/>
          <w:bCs/>
          <w:sz w:val="24"/>
          <w:szCs w:val="24"/>
        </w:rPr>
      </w:pPr>
      <w:r w:rsidRPr="00363733">
        <w:rPr>
          <w:rFonts w:ascii="Arial" w:hAnsi="Arial" w:cs="Arial"/>
          <w:bCs/>
          <w:sz w:val="24"/>
          <w:szCs w:val="24"/>
        </w:rPr>
        <w:t>Trudgill, P. (2005)</w:t>
      </w:r>
      <w:r>
        <w:rPr>
          <w:rFonts w:ascii="Arial" w:hAnsi="Arial" w:cs="Arial"/>
          <w:bCs/>
          <w:sz w:val="24"/>
          <w:szCs w:val="24"/>
        </w:rPr>
        <w:t>.</w:t>
      </w:r>
      <w:r w:rsidRPr="00363733">
        <w:rPr>
          <w:rFonts w:ascii="Arial" w:hAnsi="Arial" w:cs="Arial"/>
          <w:bCs/>
          <w:sz w:val="24"/>
          <w:szCs w:val="24"/>
        </w:rPr>
        <w:t xml:space="preserve"> </w:t>
      </w:r>
      <w:r w:rsidRPr="00363733">
        <w:rPr>
          <w:rFonts w:ascii="Arial" w:hAnsi="Arial" w:cs="Arial"/>
          <w:bCs/>
          <w:i/>
          <w:sz w:val="24"/>
          <w:szCs w:val="24"/>
        </w:rPr>
        <w:t>Sociolinguistics</w:t>
      </w:r>
      <w:r w:rsidRPr="00363733">
        <w:rPr>
          <w:rFonts w:ascii="Arial" w:hAnsi="Arial" w:cs="Arial"/>
          <w:bCs/>
          <w:sz w:val="24"/>
          <w:szCs w:val="24"/>
        </w:rPr>
        <w:t xml:space="preserve"> (Fifth edition). London: Penguin.</w:t>
      </w:r>
    </w:p>
    <w:p w14:paraId="761DD665" w14:textId="77777777" w:rsidR="00883204" w:rsidRPr="009D52D0" w:rsidRDefault="009A2D37" w:rsidP="009D52D0">
      <w:pPr>
        <w:numPr>
          <w:ilvl w:val="0"/>
          <w:numId w:val="1"/>
        </w:numPr>
        <w:spacing w:after="120" w:line="240" w:lineRule="auto"/>
        <w:ind w:left="567" w:right="543" w:hanging="567"/>
        <w:rPr>
          <w:rFonts w:ascii="Arial" w:hAnsi="Arial" w:cs="Arial"/>
          <w:i/>
          <w:iCs/>
          <w:sz w:val="24"/>
          <w:szCs w:val="24"/>
        </w:rPr>
      </w:pPr>
      <w:r w:rsidRPr="009D52D0">
        <w:rPr>
          <w:rFonts w:ascii="Arial" w:hAnsi="Arial" w:cs="Arial"/>
          <w:b/>
          <w:sz w:val="24"/>
          <w:szCs w:val="24"/>
        </w:rPr>
        <w:t>Learning</w:t>
      </w:r>
      <w:r w:rsidR="00883204" w:rsidRPr="009D52D0">
        <w:rPr>
          <w:rFonts w:ascii="Arial" w:hAnsi="Arial" w:cs="Arial"/>
          <w:b/>
          <w:sz w:val="24"/>
          <w:szCs w:val="24"/>
        </w:rPr>
        <w:t xml:space="preserve"> and t</w:t>
      </w:r>
      <w:r w:rsidR="006F3F8B" w:rsidRPr="009D52D0">
        <w:rPr>
          <w:rFonts w:ascii="Arial" w:hAnsi="Arial" w:cs="Arial"/>
          <w:b/>
          <w:sz w:val="24"/>
          <w:szCs w:val="24"/>
        </w:rPr>
        <w:t>eaching m</w:t>
      </w:r>
      <w:r w:rsidRPr="009D52D0">
        <w:rPr>
          <w:rFonts w:ascii="Arial" w:hAnsi="Arial" w:cs="Arial"/>
          <w:b/>
          <w:sz w:val="24"/>
          <w:szCs w:val="24"/>
        </w:rPr>
        <w:t>ethods</w:t>
      </w:r>
    </w:p>
    <w:p w14:paraId="0BD6914B" w14:textId="4755BD2F" w:rsidR="008D4447"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Contact Hours: </w:t>
      </w:r>
      <w:r w:rsidR="00363733">
        <w:rPr>
          <w:rFonts w:ascii="Arial" w:hAnsi="Arial" w:cs="Arial"/>
          <w:iCs/>
          <w:sz w:val="24"/>
          <w:szCs w:val="24"/>
        </w:rPr>
        <w:t>20</w:t>
      </w:r>
    </w:p>
    <w:p w14:paraId="6C7D69ED" w14:textId="64E5502D" w:rsidR="00CC3B7F"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Private Study Hours: </w:t>
      </w:r>
      <w:r w:rsidR="00363733">
        <w:rPr>
          <w:rFonts w:ascii="Arial" w:hAnsi="Arial" w:cs="Arial"/>
          <w:iCs/>
          <w:sz w:val="24"/>
          <w:szCs w:val="24"/>
        </w:rPr>
        <w:t>130</w:t>
      </w:r>
    </w:p>
    <w:p w14:paraId="430C46A1" w14:textId="15CF6261" w:rsidR="00CC3B7F" w:rsidRPr="008D4447"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Study Hours: </w:t>
      </w:r>
      <w:r w:rsidR="00363733">
        <w:rPr>
          <w:rFonts w:ascii="Arial" w:hAnsi="Arial" w:cs="Arial"/>
          <w:iCs/>
          <w:sz w:val="24"/>
          <w:szCs w:val="24"/>
        </w:rPr>
        <w:t>150</w:t>
      </w:r>
    </w:p>
    <w:p w14:paraId="4190B300" w14:textId="77777777" w:rsidR="00883204" w:rsidRPr="009D52D0" w:rsidRDefault="00EF4933" w:rsidP="009D52D0">
      <w:pPr>
        <w:numPr>
          <w:ilvl w:val="0"/>
          <w:numId w:val="1"/>
        </w:numPr>
        <w:spacing w:after="120" w:line="240" w:lineRule="auto"/>
        <w:ind w:left="567" w:right="543" w:hanging="567"/>
        <w:rPr>
          <w:rFonts w:ascii="Arial" w:hAnsi="Arial" w:cs="Arial"/>
          <w:i/>
          <w:iCs/>
          <w:sz w:val="24"/>
          <w:szCs w:val="24"/>
        </w:rPr>
      </w:pPr>
      <w:r w:rsidRPr="009D52D0">
        <w:rPr>
          <w:rFonts w:ascii="Arial" w:hAnsi="Arial" w:cs="Arial"/>
          <w:b/>
          <w:sz w:val="24"/>
          <w:szCs w:val="24"/>
        </w:rPr>
        <w:t>Assessment methods</w:t>
      </w:r>
    </w:p>
    <w:p w14:paraId="672FEF26" w14:textId="77777777" w:rsidR="00696FF5" w:rsidRPr="009D52D0" w:rsidRDefault="00696FF5" w:rsidP="009D52D0">
      <w:pPr>
        <w:pStyle w:val="ListParagraph"/>
        <w:numPr>
          <w:ilvl w:val="1"/>
          <w:numId w:val="9"/>
        </w:numPr>
        <w:spacing w:after="120"/>
        <w:ind w:left="567" w:right="543" w:hanging="567"/>
        <w:rPr>
          <w:rFonts w:ascii="Arial" w:hAnsi="Arial" w:cs="Arial"/>
          <w:iCs/>
          <w:sz w:val="24"/>
          <w:szCs w:val="24"/>
        </w:rPr>
      </w:pPr>
      <w:r w:rsidRPr="009D52D0">
        <w:rPr>
          <w:rFonts w:ascii="Arial" w:hAnsi="Arial" w:cs="Arial"/>
          <w:iCs/>
          <w:sz w:val="24"/>
          <w:szCs w:val="24"/>
        </w:rPr>
        <w:t>Main assessment methods</w:t>
      </w:r>
    </w:p>
    <w:p w14:paraId="5FBDDDD1" w14:textId="5878AFD8" w:rsidR="00363733" w:rsidRPr="00363733" w:rsidRDefault="00363733" w:rsidP="00363733">
      <w:pPr>
        <w:numPr>
          <w:ilvl w:val="0"/>
          <w:numId w:val="10"/>
        </w:numPr>
        <w:spacing w:after="120" w:line="240" w:lineRule="auto"/>
        <w:ind w:right="543"/>
        <w:rPr>
          <w:rFonts w:ascii="Arial" w:hAnsi="Arial" w:cs="Arial"/>
          <w:bCs/>
          <w:iCs/>
          <w:sz w:val="24"/>
          <w:szCs w:val="24"/>
        </w:rPr>
      </w:pPr>
      <w:r w:rsidRPr="00363733">
        <w:rPr>
          <w:rFonts w:ascii="Arial" w:hAnsi="Arial" w:cs="Arial"/>
          <w:bCs/>
          <w:iCs/>
          <w:sz w:val="24"/>
          <w:szCs w:val="24"/>
        </w:rPr>
        <w:t xml:space="preserve">Essay (1,500 words) – </w:t>
      </w:r>
      <w:r w:rsidR="00731266">
        <w:rPr>
          <w:rFonts w:ascii="Arial" w:hAnsi="Arial" w:cs="Arial"/>
          <w:bCs/>
          <w:iCs/>
          <w:sz w:val="24"/>
          <w:szCs w:val="24"/>
        </w:rPr>
        <w:t>4</w:t>
      </w:r>
      <w:r w:rsidR="00731266" w:rsidRPr="00363733">
        <w:rPr>
          <w:rFonts w:ascii="Arial" w:hAnsi="Arial" w:cs="Arial"/>
          <w:bCs/>
          <w:iCs/>
          <w:sz w:val="24"/>
          <w:szCs w:val="24"/>
        </w:rPr>
        <w:t>0</w:t>
      </w:r>
      <w:r w:rsidRPr="00363733">
        <w:rPr>
          <w:rFonts w:ascii="Arial" w:hAnsi="Arial" w:cs="Arial"/>
          <w:bCs/>
          <w:iCs/>
          <w:sz w:val="24"/>
          <w:szCs w:val="24"/>
        </w:rPr>
        <w:t>%</w:t>
      </w:r>
    </w:p>
    <w:p w14:paraId="11F381BB" w14:textId="28FECB9C" w:rsidR="00363733" w:rsidRPr="00363733" w:rsidRDefault="00363733" w:rsidP="00363733">
      <w:pPr>
        <w:numPr>
          <w:ilvl w:val="0"/>
          <w:numId w:val="10"/>
        </w:numPr>
        <w:spacing w:after="120" w:line="240" w:lineRule="auto"/>
        <w:ind w:right="543"/>
        <w:rPr>
          <w:rFonts w:ascii="Arial" w:hAnsi="Arial" w:cs="Arial"/>
          <w:bCs/>
          <w:iCs/>
          <w:sz w:val="24"/>
          <w:szCs w:val="24"/>
        </w:rPr>
      </w:pPr>
      <w:r w:rsidRPr="00363733">
        <w:rPr>
          <w:rFonts w:ascii="Arial" w:hAnsi="Arial" w:cs="Arial"/>
          <w:bCs/>
          <w:iCs/>
          <w:sz w:val="24"/>
          <w:szCs w:val="24"/>
        </w:rPr>
        <w:t xml:space="preserve">Group Presentation (15 minutes) – </w:t>
      </w:r>
      <w:r w:rsidR="00731266">
        <w:rPr>
          <w:rFonts w:ascii="Arial" w:hAnsi="Arial" w:cs="Arial"/>
          <w:bCs/>
          <w:iCs/>
          <w:sz w:val="24"/>
          <w:szCs w:val="24"/>
        </w:rPr>
        <w:t>20</w:t>
      </w:r>
      <w:r w:rsidRPr="00363733">
        <w:rPr>
          <w:rFonts w:ascii="Arial" w:hAnsi="Arial" w:cs="Arial"/>
          <w:bCs/>
          <w:iCs/>
          <w:sz w:val="24"/>
          <w:szCs w:val="24"/>
        </w:rPr>
        <w:t>%</w:t>
      </w:r>
    </w:p>
    <w:p w14:paraId="6D5CD1CC" w14:textId="51D5E6DA" w:rsidR="008D4447" w:rsidRPr="00363733" w:rsidRDefault="00363733" w:rsidP="00363733">
      <w:pPr>
        <w:numPr>
          <w:ilvl w:val="0"/>
          <w:numId w:val="10"/>
        </w:numPr>
        <w:spacing w:after="120" w:line="240" w:lineRule="auto"/>
        <w:ind w:right="543"/>
        <w:rPr>
          <w:rFonts w:ascii="Arial" w:hAnsi="Arial" w:cs="Arial"/>
          <w:bCs/>
          <w:iCs/>
          <w:sz w:val="24"/>
          <w:szCs w:val="24"/>
        </w:rPr>
      </w:pPr>
      <w:r w:rsidRPr="00363733">
        <w:rPr>
          <w:rFonts w:ascii="Arial" w:hAnsi="Arial" w:cs="Arial"/>
          <w:bCs/>
          <w:iCs/>
          <w:sz w:val="24"/>
          <w:szCs w:val="24"/>
        </w:rPr>
        <w:t xml:space="preserve">Examination (2 hours) – </w:t>
      </w:r>
      <w:r w:rsidR="00731266">
        <w:rPr>
          <w:rFonts w:ascii="Arial" w:hAnsi="Arial" w:cs="Arial"/>
          <w:bCs/>
          <w:iCs/>
          <w:sz w:val="24"/>
          <w:szCs w:val="24"/>
        </w:rPr>
        <w:t>40</w:t>
      </w:r>
      <w:r w:rsidRPr="00363733">
        <w:rPr>
          <w:rFonts w:ascii="Arial" w:hAnsi="Arial" w:cs="Arial"/>
          <w:bCs/>
          <w:iCs/>
          <w:sz w:val="24"/>
          <w:szCs w:val="24"/>
        </w:rPr>
        <w:t>%</w:t>
      </w:r>
    </w:p>
    <w:p w14:paraId="1CE96E88" w14:textId="77777777" w:rsidR="00696FF5" w:rsidRPr="009D52D0" w:rsidRDefault="00696FF5" w:rsidP="009D52D0">
      <w:pPr>
        <w:spacing w:after="120"/>
        <w:ind w:left="567" w:right="543" w:hanging="567"/>
        <w:rPr>
          <w:rFonts w:ascii="Arial" w:hAnsi="Arial" w:cs="Arial"/>
          <w:iCs/>
          <w:sz w:val="24"/>
          <w:szCs w:val="24"/>
        </w:rPr>
      </w:pPr>
      <w:r w:rsidRPr="009D52D0">
        <w:rPr>
          <w:rFonts w:ascii="Arial" w:hAnsi="Arial" w:cs="Arial"/>
          <w:iCs/>
          <w:sz w:val="24"/>
          <w:szCs w:val="24"/>
        </w:rPr>
        <w:t>13.2</w:t>
      </w:r>
      <w:r w:rsidRPr="009D52D0">
        <w:rPr>
          <w:rFonts w:ascii="Arial" w:hAnsi="Arial" w:cs="Arial"/>
          <w:iCs/>
          <w:sz w:val="24"/>
          <w:szCs w:val="24"/>
        </w:rPr>
        <w:tab/>
        <w:t xml:space="preserve">Reassessment methods </w:t>
      </w:r>
    </w:p>
    <w:p w14:paraId="7B3DCB0C" w14:textId="4C919244" w:rsidR="008D4447" w:rsidRPr="00CC3B7F" w:rsidRDefault="00363733" w:rsidP="00CC3B7F">
      <w:pPr>
        <w:pStyle w:val="ListParagraph"/>
        <w:numPr>
          <w:ilvl w:val="0"/>
          <w:numId w:val="10"/>
        </w:numPr>
        <w:spacing w:after="120" w:line="240" w:lineRule="auto"/>
        <w:ind w:right="543"/>
        <w:rPr>
          <w:rFonts w:ascii="Arial" w:hAnsi="Arial" w:cs="Arial"/>
          <w:iCs/>
          <w:sz w:val="24"/>
          <w:szCs w:val="24"/>
        </w:rPr>
      </w:pPr>
      <w:r>
        <w:rPr>
          <w:rFonts w:ascii="Arial" w:hAnsi="Arial" w:cs="Arial"/>
          <w:iCs/>
          <w:sz w:val="24"/>
          <w:szCs w:val="24"/>
        </w:rPr>
        <w:t>100% Coursework (1,500 words)</w:t>
      </w:r>
    </w:p>
    <w:p w14:paraId="0CA374A3" w14:textId="77777777" w:rsidR="00274ED7" w:rsidRPr="009D52D0" w:rsidRDefault="006F3F8B" w:rsidP="009D52D0">
      <w:pPr>
        <w:numPr>
          <w:ilvl w:val="0"/>
          <w:numId w:val="1"/>
        </w:numPr>
        <w:spacing w:after="120" w:line="240" w:lineRule="auto"/>
        <w:ind w:left="567" w:right="543" w:hanging="567"/>
        <w:jc w:val="both"/>
        <w:rPr>
          <w:rFonts w:ascii="Arial" w:hAnsi="Arial" w:cs="Arial"/>
          <w:b/>
          <w:i/>
          <w:iCs/>
          <w:sz w:val="24"/>
          <w:szCs w:val="24"/>
        </w:rPr>
      </w:pPr>
      <w:r w:rsidRPr="009D52D0">
        <w:rPr>
          <w:rFonts w:ascii="Arial" w:hAnsi="Arial" w:cs="Arial"/>
          <w:b/>
          <w:i/>
          <w:iCs/>
          <w:sz w:val="24"/>
          <w:szCs w:val="24"/>
        </w:rPr>
        <w:t xml:space="preserve">Map of </w:t>
      </w:r>
      <w:r w:rsidR="00883204" w:rsidRPr="009D52D0">
        <w:rPr>
          <w:rFonts w:ascii="Arial" w:hAnsi="Arial" w:cs="Arial"/>
          <w:b/>
          <w:i/>
          <w:iCs/>
          <w:sz w:val="24"/>
          <w:szCs w:val="24"/>
        </w:rPr>
        <w:t xml:space="preserve">module learning outcomes </w:t>
      </w:r>
      <w:r w:rsidR="00B30E07" w:rsidRPr="009D52D0">
        <w:rPr>
          <w:rFonts w:ascii="Arial" w:hAnsi="Arial" w:cs="Arial"/>
          <w:b/>
          <w:i/>
          <w:iCs/>
          <w:sz w:val="24"/>
          <w:szCs w:val="24"/>
        </w:rPr>
        <w:t>(sections 8 &amp; 9)</w:t>
      </w:r>
      <w:r w:rsidR="00883204" w:rsidRPr="009D52D0">
        <w:rPr>
          <w:rFonts w:ascii="Arial" w:hAnsi="Arial" w:cs="Arial"/>
          <w:b/>
          <w:i/>
          <w:iCs/>
          <w:sz w:val="24"/>
          <w:szCs w:val="24"/>
        </w:rPr>
        <w:t xml:space="preserve"> to l</w:t>
      </w:r>
      <w:r w:rsidRPr="009D52D0">
        <w:rPr>
          <w:rFonts w:ascii="Arial" w:hAnsi="Arial" w:cs="Arial"/>
          <w:b/>
          <w:i/>
          <w:iCs/>
          <w:sz w:val="24"/>
          <w:szCs w:val="24"/>
        </w:rPr>
        <w:t>earning</w:t>
      </w:r>
      <w:r w:rsidR="00B30E07" w:rsidRPr="009D52D0">
        <w:rPr>
          <w:rFonts w:ascii="Arial" w:hAnsi="Arial" w:cs="Arial"/>
          <w:b/>
          <w:i/>
          <w:iCs/>
          <w:sz w:val="24"/>
          <w:szCs w:val="24"/>
        </w:rPr>
        <w:t xml:space="preserve"> and </w:t>
      </w:r>
      <w:r w:rsidR="00883204" w:rsidRPr="009D52D0">
        <w:rPr>
          <w:rFonts w:ascii="Arial" w:hAnsi="Arial" w:cs="Arial"/>
          <w:b/>
          <w:i/>
          <w:iCs/>
          <w:sz w:val="24"/>
          <w:szCs w:val="24"/>
        </w:rPr>
        <w:t>teaching m</w:t>
      </w:r>
      <w:r w:rsidR="00B30E07" w:rsidRPr="009D52D0">
        <w:rPr>
          <w:rFonts w:ascii="Arial" w:hAnsi="Arial" w:cs="Arial"/>
          <w:b/>
          <w:i/>
          <w:iCs/>
          <w:sz w:val="24"/>
          <w:szCs w:val="24"/>
        </w:rPr>
        <w:t>ethods (section12</w:t>
      </w:r>
      <w:r w:rsidRPr="009D52D0">
        <w:rPr>
          <w:rFonts w:ascii="Arial" w:hAnsi="Arial" w:cs="Arial"/>
          <w:b/>
          <w:i/>
          <w:iCs/>
          <w:sz w:val="24"/>
          <w:szCs w:val="24"/>
        </w:rPr>
        <w:t>) and m</w:t>
      </w:r>
      <w:r w:rsidR="00883204" w:rsidRPr="009D52D0">
        <w:rPr>
          <w:rFonts w:ascii="Arial" w:hAnsi="Arial" w:cs="Arial"/>
          <w:b/>
          <w:i/>
          <w:iCs/>
          <w:sz w:val="24"/>
          <w:szCs w:val="24"/>
        </w:rPr>
        <w:t>ethods of a</w:t>
      </w:r>
      <w:r w:rsidR="00B30E07" w:rsidRPr="009D52D0">
        <w:rPr>
          <w:rFonts w:ascii="Arial" w:hAnsi="Arial" w:cs="Arial"/>
          <w:b/>
          <w:i/>
          <w:iCs/>
          <w:sz w:val="24"/>
          <w:szCs w:val="24"/>
        </w:rPr>
        <w:t>ssessment (section 13</w:t>
      </w:r>
      <w:r w:rsidR="00EF4933" w:rsidRPr="009D52D0">
        <w:rPr>
          <w:rFonts w:ascii="Arial" w:hAnsi="Arial" w:cs="Arial"/>
          <w:b/>
          <w:i/>
          <w:iCs/>
          <w:sz w:val="24"/>
          <w:szCs w:val="24"/>
        </w:rPr>
        <w:t>)</w:t>
      </w:r>
    </w:p>
    <w:tbl>
      <w:tblPr>
        <w:tblStyle w:val="TableGrid2"/>
        <w:tblW w:w="9214" w:type="dxa"/>
        <w:tblInd w:w="562" w:type="dxa"/>
        <w:tblLayout w:type="fixed"/>
        <w:tblLook w:val="04A0" w:firstRow="1" w:lastRow="0" w:firstColumn="1" w:lastColumn="0" w:noHBand="0" w:noVBand="1"/>
      </w:tblPr>
      <w:tblGrid>
        <w:gridCol w:w="2977"/>
        <w:gridCol w:w="567"/>
        <w:gridCol w:w="567"/>
        <w:gridCol w:w="567"/>
        <w:gridCol w:w="567"/>
        <w:gridCol w:w="567"/>
        <w:gridCol w:w="567"/>
        <w:gridCol w:w="567"/>
        <w:gridCol w:w="567"/>
        <w:gridCol w:w="567"/>
        <w:gridCol w:w="567"/>
        <w:gridCol w:w="567"/>
      </w:tblGrid>
      <w:tr w:rsidR="00363733" w:rsidRPr="00E60046" w14:paraId="7346A347" w14:textId="77777777" w:rsidTr="00731266">
        <w:trPr>
          <w:trHeight w:val="560"/>
        </w:trPr>
        <w:tc>
          <w:tcPr>
            <w:tcW w:w="2977" w:type="dxa"/>
            <w:shd w:val="clear" w:color="auto" w:fill="D9D9D9" w:themeFill="background1" w:themeFillShade="D9"/>
          </w:tcPr>
          <w:p w14:paraId="636D4588" w14:textId="77777777" w:rsidR="00363733" w:rsidRPr="00E60046" w:rsidRDefault="00363733" w:rsidP="008539A0">
            <w:pPr>
              <w:spacing w:after="120"/>
              <w:rPr>
                <w:rFonts w:ascii="Arial" w:hAnsi="Arial" w:cs="Arial"/>
                <w:i/>
              </w:rPr>
            </w:pPr>
            <w:r w:rsidRPr="00E60046">
              <w:rPr>
                <w:rFonts w:ascii="Arial" w:hAnsi="Arial" w:cs="Arial"/>
                <w:b/>
              </w:rPr>
              <w:t>Module learning outcome</w:t>
            </w:r>
          </w:p>
        </w:tc>
        <w:tc>
          <w:tcPr>
            <w:tcW w:w="567" w:type="dxa"/>
          </w:tcPr>
          <w:p w14:paraId="72117035" w14:textId="77777777" w:rsidR="00363733" w:rsidRPr="00E60046" w:rsidRDefault="00363733" w:rsidP="008539A0">
            <w:pPr>
              <w:spacing w:after="120"/>
              <w:rPr>
                <w:rFonts w:ascii="Arial" w:hAnsi="Arial" w:cs="Arial"/>
                <w:i/>
              </w:rPr>
            </w:pPr>
            <w:r w:rsidRPr="00E60046">
              <w:rPr>
                <w:rFonts w:ascii="Arial" w:hAnsi="Arial" w:cs="Arial"/>
                <w:i/>
              </w:rPr>
              <w:t>8.1</w:t>
            </w:r>
          </w:p>
        </w:tc>
        <w:tc>
          <w:tcPr>
            <w:tcW w:w="567" w:type="dxa"/>
          </w:tcPr>
          <w:p w14:paraId="220AA07C" w14:textId="77777777" w:rsidR="00363733" w:rsidRPr="00E60046" w:rsidRDefault="00363733" w:rsidP="008539A0">
            <w:pPr>
              <w:spacing w:after="120"/>
              <w:rPr>
                <w:rFonts w:ascii="Arial" w:hAnsi="Arial" w:cs="Arial"/>
                <w:i/>
              </w:rPr>
            </w:pPr>
            <w:r w:rsidRPr="00E60046">
              <w:rPr>
                <w:rFonts w:ascii="Arial" w:hAnsi="Arial" w:cs="Arial"/>
                <w:i/>
              </w:rPr>
              <w:t>8.2</w:t>
            </w:r>
          </w:p>
        </w:tc>
        <w:tc>
          <w:tcPr>
            <w:tcW w:w="567" w:type="dxa"/>
          </w:tcPr>
          <w:p w14:paraId="0CBB7903" w14:textId="77777777" w:rsidR="00363733" w:rsidRPr="00E60046" w:rsidRDefault="00363733" w:rsidP="008539A0">
            <w:pPr>
              <w:spacing w:after="120"/>
              <w:rPr>
                <w:rFonts w:ascii="Arial" w:hAnsi="Arial" w:cs="Arial"/>
                <w:i/>
              </w:rPr>
            </w:pPr>
            <w:r w:rsidRPr="00E60046">
              <w:rPr>
                <w:rFonts w:ascii="Arial" w:hAnsi="Arial" w:cs="Arial"/>
                <w:i/>
              </w:rPr>
              <w:t>8.3</w:t>
            </w:r>
          </w:p>
        </w:tc>
        <w:tc>
          <w:tcPr>
            <w:tcW w:w="567" w:type="dxa"/>
          </w:tcPr>
          <w:p w14:paraId="0F1E11E7" w14:textId="77777777" w:rsidR="00363733" w:rsidRPr="00E60046" w:rsidRDefault="00363733" w:rsidP="008539A0">
            <w:pPr>
              <w:spacing w:after="120"/>
              <w:rPr>
                <w:rFonts w:ascii="Arial" w:hAnsi="Arial" w:cs="Arial"/>
                <w:i/>
              </w:rPr>
            </w:pPr>
            <w:r w:rsidRPr="00E60046">
              <w:rPr>
                <w:rFonts w:ascii="Arial" w:hAnsi="Arial" w:cs="Arial"/>
                <w:i/>
              </w:rPr>
              <w:t>8.4</w:t>
            </w:r>
          </w:p>
        </w:tc>
        <w:tc>
          <w:tcPr>
            <w:tcW w:w="567" w:type="dxa"/>
          </w:tcPr>
          <w:p w14:paraId="0FA18C09" w14:textId="77777777" w:rsidR="00363733" w:rsidRPr="00E60046" w:rsidRDefault="00363733" w:rsidP="008539A0">
            <w:pPr>
              <w:spacing w:after="120"/>
              <w:rPr>
                <w:rFonts w:ascii="Arial" w:hAnsi="Arial" w:cs="Arial"/>
                <w:i/>
              </w:rPr>
            </w:pPr>
            <w:r w:rsidRPr="00E60046">
              <w:rPr>
                <w:rFonts w:ascii="Arial" w:hAnsi="Arial" w:cs="Arial"/>
                <w:i/>
              </w:rPr>
              <w:t>8.5</w:t>
            </w:r>
          </w:p>
        </w:tc>
        <w:tc>
          <w:tcPr>
            <w:tcW w:w="567" w:type="dxa"/>
          </w:tcPr>
          <w:p w14:paraId="4385E2D3" w14:textId="77777777" w:rsidR="00363733" w:rsidRPr="00E60046" w:rsidRDefault="00363733" w:rsidP="008539A0">
            <w:pPr>
              <w:spacing w:after="120"/>
              <w:rPr>
                <w:rFonts w:ascii="Arial" w:hAnsi="Arial" w:cs="Arial"/>
                <w:i/>
              </w:rPr>
            </w:pPr>
            <w:r w:rsidRPr="00E60046">
              <w:rPr>
                <w:rFonts w:ascii="Arial" w:hAnsi="Arial" w:cs="Arial"/>
                <w:i/>
              </w:rPr>
              <w:t>9.1</w:t>
            </w:r>
          </w:p>
        </w:tc>
        <w:tc>
          <w:tcPr>
            <w:tcW w:w="567" w:type="dxa"/>
          </w:tcPr>
          <w:p w14:paraId="025BA348" w14:textId="77777777" w:rsidR="00363733" w:rsidRPr="00E60046" w:rsidRDefault="00363733" w:rsidP="008539A0">
            <w:pPr>
              <w:spacing w:after="120"/>
              <w:rPr>
                <w:rFonts w:ascii="Arial" w:hAnsi="Arial" w:cs="Arial"/>
                <w:i/>
              </w:rPr>
            </w:pPr>
            <w:r w:rsidRPr="00E60046">
              <w:rPr>
                <w:rFonts w:ascii="Arial" w:hAnsi="Arial" w:cs="Arial"/>
                <w:i/>
              </w:rPr>
              <w:t>9.2</w:t>
            </w:r>
          </w:p>
        </w:tc>
        <w:tc>
          <w:tcPr>
            <w:tcW w:w="567" w:type="dxa"/>
          </w:tcPr>
          <w:p w14:paraId="1093A07B" w14:textId="77777777" w:rsidR="00363733" w:rsidRPr="00E60046" w:rsidRDefault="00363733" w:rsidP="008539A0">
            <w:pPr>
              <w:spacing w:after="120"/>
              <w:rPr>
                <w:rFonts w:ascii="Arial" w:hAnsi="Arial" w:cs="Arial"/>
                <w:i/>
              </w:rPr>
            </w:pPr>
            <w:r w:rsidRPr="00E60046">
              <w:rPr>
                <w:rFonts w:ascii="Arial" w:hAnsi="Arial" w:cs="Arial"/>
                <w:i/>
              </w:rPr>
              <w:t>9.3</w:t>
            </w:r>
          </w:p>
        </w:tc>
        <w:tc>
          <w:tcPr>
            <w:tcW w:w="567" w:type="dxa"/>
          </w:tcPr>
          <w:p w14:paraId="0A803F51" w14:textId="77777777" w:rsidR="00363733" w:rsidRPr="00E60046" w:rsidRDefault="00363733" w:rsidP="008539A0">
            <w:pPr>
              <w:spacing w:after="120"/>
              <w:rPr>
                <w:rFonts w:ascii="Arial" w:hAnsi="Arial" w:cs="Arial"/>
                <w:i/>
              </w:rPr>
            </w:pPr>
            <w:r w:rsidRPr="00E60046">
              <w:rPr>
                <w:rFonts w:ascii="Arial" w:hAnsi="Arial" w:cs="Arial"/>
                <w:i/>
              </w:rPr>
              <w:t>9.4</w:t>
            </w:r>
          </w:p>
        </w:tc>
        <w:tc>
          <w:tcPr>
            <w:tcW w:w="567" w:type="dxa"/>
          </w:tcPr>
          <w:p w14:paraId="7509CC7B" w14:textId="77777777" w:rsidR="00363733" w:rsidRPr="00E60046" w:rsidRDefault="00363733" w:rsidP="008539A0">
            <w:pPr>
              <w:spacing w:after="120"/>
              <w:rPr>
                <w:rFonts w:ascii="Arial" w:hAnsi="Arial" w:cs="Arial"/>
                <w:i/>
              </w:rPr>
            </w:pPr>
            <w:r w:rsidRPr="00E60046">
              <w:rPr>
                <w:rFonts w:ascii="Arial" w:hAnsi="Arial" w:cs="Arial"/>
                <w:i/>
              </w:rPr>
              <w:t>9.5</w:t>
            </w:r>
          </w:p>
        </w:tc>
        <w:tc>
          <w:tcPr>
            <w:tcW w:w="567" w:type="dxa"/>
          </w:tcPr>
          <w:p w14:paraId="13F68485" w14:textId="77777777" w:rsidR="00363733" w:rsidRPr="00E60046" w:rsidRDefault="00363733" w:rsidP="008539A0">
            <w:pPr>
              <w:spacing w:after="120"/>
              <w:rPr>
                <w:rFonts w:ascii="Arial" w:hAnsi="Arial" w:cs="Arial"/>
                <w:i/>
              </w:rPr>
            </w:pPr>
            <w:r w:rsidRPr="00E60046">
              <w:rPr>
                <w:rFonts w:ascii="Arial" w:hAnsi="Arial" w:cs="Arial"/>
                <w:i/>
              </w:rPr>
              <w:t>9.6</w:t>
            </w:r>
          </w:p>
        </w:tc>
      </w:tr>
      <w:tr w:rsidR="00363733" w:rsidRPr="00E60046" w14:paraId="1A9E3764" w14:textId="77777777" w:rsidTr="008539A0">
        <w:tc>
          <w:tcPr>
            <w:tcW w:w="2977" w:type="dxa"/>
            <w:shd w:val="clear" w:color="auto" w:fill="D9D9D9" w:themeFill="background1" w:themeFillShade="D9"/>
          </w:tcPr>
          <w:p w14:paraId="77F2C723" w14:textId="77777777" w:rsidR="00363733" w:rsidRPr="00E60046" w:rsidRDefault="00363733" w:rsidP="008539A0">
            <w:pPr>
              <w:spacing w:after="120"/>
              <w:rPr>
                <w:rFonts w:ascii="Arial" w:hAnsi="Arial" w:cs="Arial"/>
                <w:b/>
              </w:rPr>
            </w:pPr>
            <w:r w:rsidRPr="00E60046">
              <w:rPr>
                <w:rFonts w:ascii="Arial" w:hAnsi="Arial" w:cs="Arial"/>
                <w:b/>
              </w:rPr>
              <w:lastRenderedPageBreak/>
              <w:t>Learning/ teaching method</w:t>
            </w:r>
          </w:p>
        </w:tc>
        <w:tc>
          <w:tcPr>
            <w:tcW w:w="567" w:type="dxa"/>
          </w:tcPr>
          <w:p w14:paraId="37CE7CBB" w14:textId="77777777" w:rsidR="00363733" w:rsidRPr="00E60046" w:rsidRDefault="00363733" w:rsidP="008539A0">
            <w:pPr>
              <w:spacing w:after="120"/>
              <w:rPr>
                <w:rFonts w:ascii="Arial" w:hAnsi="Arial" w:cs="Arial"/>
                <w:b/>
              </w:rPr>
            </w:pPr>
          </w:p>
        </w:tc>
        <w:tc>
          <w:tcPr>
            <w:tcW w:w="567" w:type="dxa"/>
          </w:tcPr>
          <w:p w14:paraId="0793E4E2" w14:textId="77777777" w:rsidR="00363733" w:rsidRPr="00E60046" w:rsidRDefault="00363733" w:rsidP="008539A0">
            <w:pPr>
              <w:spacing w:after="120"/>
              <w:rPr>
                <w:rFonts w:ascii="Arial" w:hAnsi="Arial" w:cs="Arial"/>
                <w:b/>
              </w:rPr>
            </w:pPr>
          </w:p>
        </w:tc>
        <w:tc>
          <w:tcPr>
            <w:tcW w:w="567" w:type="dxa"/>
          </w:tcPr>
          <w:p w14:paraId="4FC06880" w14:textId="77777777" w:rsidR="00363733" w:rsidRPr="00E60046" w:rsidRDefault="00363733" w:rsidP="008539A0">
            <w:pPr>
              <w:spacing w:after="120"/>
              <w:rPr>
                <w:rFonts w:ascii="Arial" w:hAnsi="Arial" w:cs="Arial"/>
                <w:b/>
              </w:rPr>
            </w:pPr>
          </w:p>
        </w:tc>
        <w:tc>
          <w:tcPr>
            <w:tcW w:w="567" w:type="dxa"/>
          </w:tcPr>
          <w:p w14:paraId="2375CB65" w14:textId="77777777" w:rsidR="00363733" w:rsidRPr="00E60046" w:rsidRDefault="00363733" w:rsidP="008539A0">
            <w:pPr>
              <w:spacing w:after="120"/>
              <w:rPr>
                <w:rFonts w:ascii="Arial" w:hAnsi="Arial" w:cs="Arial"/>
                <w:b/>
              </w:rPr>
            </w:pPr>
          </w:p>
        </w:tc>
        <w:tc>
          <w:tcPr>
            <w:tcW w:w="567" w:type="dxa"/>
          </w:tcPr>
          <w:p w14:paraId="7908B3CF" w14:textId="77777777" w:rsidR="00363733" w:rsidRPr="00E60046" w:rsidRDefault="00363733" w:rsidP="008539A0">
            <w:pPr>
              <w:spacing w:after="120"/>
              <w:rPr>
                <w:rFonts w:ascii="Arial" w:hAnsi="Arial" w:cs="Arial"/>
                <w:b/>
              </w:rPr>
            </w:pPr>
          </w:p>
        </w:tc>
        <w:tc>
          <w:tcPr>
            <w:tcW w:w="567" w:type="dxa"/>
          </w:tcPr>
          <w:p w14:paraId="5DE70F66" w14:textId="77777777" w:rsidR="00363733" w:rsidRPr="00E60046" w:rsidRDefault="00363733" w:rsidP="008539A0">
            <w:pPr>
              <w:spacing w:after="120"/>
              <w:rPr>
                <w:rFonts w:ascii="Arial" w:hAnsi="Arial" w:cs="Arial"/>
                <w:b/>
              </w:rPr>
            </w:pPr>
          </w:p>
        </w:tc>
        <w:tc>
          <w:tcPr>
            <w:tcW w:w="567" w:type="dxa"/>
          </w:tcPr>
          <w:p w14:paraId="044697FF" w14:textId="77777777" w:rsidR="00363733" w:rsidRPr="00E60046" w:rsidRDefault="00363733" w:rsidP="008539A0">
            <w:pPr>
              <w:spacing w:after="120"/>
              <w:rPr>
                <w:rFonts w:ascii="Arial" w:hAnsi="Arial" w:cs="Arial"/>
                <w:b/>
              </w:rPr>
            </w:pPr>
          </w:p>
        </w:tc>
        <w:tc>
          <w:tcPr>
            <w:tcW w:w="567" w:type="dxa"/>
          </w:tcPr>
          <w:p w14:paraId="2341C03F" w14:textId="77777777" w:rsidR="00363733" w:rsidRPr="00E60046" w:rsidRDefault="00363733" w:rsidP="008539A0">
            <w:pPr>
              <w:spacing w:after="120"/>
              <w:rPr>
                <w:rFonts w:ascii="Arial" w:hAnsi="Arial" w:cs="Arial"/>
                <w:b/>
              </w:rPr>
            </w:pPr>
          </w:p>
        </w:tc>
        <w:tc>
          <w:tcPr>
            <w:tcW w:w="567" w:type="dxa"/>
          </w:tcPr>
          <w:p w14:paraId="2C78E39D" w14:textId="77777777" w:rsidR="00363733" w:rsidRPr="00E60046" w:rsidRDefault="00363733" w:rsidP="008539A0">
            <w:pPr>
              <w:spacing w:after="120"/>
              <w:rPr>
                <w:rFonts w:ascii="Arial" w:hAnsi="Arial" w:cs="Arial"/>
                <w:b/>
              </w:rPr>
            </w:pPr>
          </w:p>
        </w:tc>
        <w:tc>
          <w:tcPr>
            <w:tcW w:w="567" w:type="dxa"/>
          </w:tcPr>
          <w:p w14:paraId="34C0D6C0" w14:textId="77777777" w:rsidR="00363733" w:rsidRPr="00E60046" w:rsidRDefault="00363733" w:rsidP="008539A0">
            <w:pPr>
              <w:spacing w:after="120"/>
              <w:rPr>
                <w:rFonts w:ascii="Arial" w:hAnsi="Arial" w:cs="Arial"/>
                <w:b/>
              </w:rPr>
            </w:pPr>
          </w:p>
        </w:tc>
        <w:tc>
          <w:tcPr>
            <w:tcW w:w="567" w:type="dxa"/>
          </w:tcPr>
          <w:p w14:paraId="64FB5FFC" w14:textId="77777777" w:rsidR="00363733" w:rsidRPr="00E60046" w:rsidRDefault="00363733" w:rsidP="008539A0">
            <w:pPr>
              <w:spacing w:after="120"/>
              <w:rPr>
                <w:rFonts w:ascii="Arial" w:hAnsi="Arial" w:cs="Arial"/>
                <w:b/>
              </w:rPr>
            </w:pPr>
          </w:p>
        </w:tc>
      </w:tr>
      <w:tr w:rsidR="00363733" w:rsidRPr="00E60046" w14:paraId="3334EED6" w14:textId="77777777" w:rsidTr="008539A0">
        <w:tc>
          <w:tcPr>
            <w:tcW w:w="2977" w:type="dxa"/>
            <w:vAlign w:val="center"/>
          </w:tcPr>
          <w:p w14:paraId="42BFBFEF" w14:textId="77777777" w:rsidR="00363733" w:rsidRPr="00E60046" w:rsidRDefault="00363733" w:rsidP="008539A0">
            <w:pPr>
              <w:spacing w:after="120"/>
              <w:rPr>
                <w:rFonts w:ascii="Arial" w:hAnsi="Arial" w:cs="Arial"/>
              </w:rPr>
            </w:pPr>
            <w:r w:rsidRPr="00E60046">
              <w:rPr>
                <w:rFonts w:ascii="Arial" w:hAnsi="Arial" w:cs="Arial"/>
              </w:rPr>
              <w:t>Private Study</w:t>
            </w:r>
          </w:p>
        </w:tc>
        <w:tc>
          <w:tcPr>
            <w:tcW w:w="567" w:type="dxa"/>
          </w:tcPr>
          <w:p w14:paraId="51330E0A"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2EAE63C9"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7336DACD"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1A74E0F0"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10E61169"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6536A1CA" w14:textId="77777777" w:rsidR="00363733" w:rsidRPr="00E60046" w:rsidRDefault="00363733" w:rsidP="008539A0">
            <w:pPr>
              <w:spacing w:after="120"/>
              <w:jc w:val="center"/>
              <w:rPr>
                <w:rFonts w:ascii="Arial" w:hAnsi="Arial" w:cs="Arial"/>
                <w:b/>
              </w:rPr>
            </w:pPr>
          </w:p>
        </w:tc>
        <w:tc>
          <w:tcPr>
            <w:tcW w:w="567" w:type="dxa"/>
          </w:tcPr>
          <w:p w14:paraId="7BE9A882"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4DF2732B"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693920D8"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4FADF1B5"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5F1E9487" w14:textId="77777777" w:rsidR="00363733" w:rsidRPr="00E60046" w:rsidRDefault="00363733" w:rsidP="008539A0">
            <w:pPr>
              <w:spacing w:after="120"/>
              <w:jc w:val="center"/>
              <w:rPr>
                <w:rFonts w:ascii="Arial" w:hAnsi="Arial" w:cs="Arial"/>
                <w:b/>
              </w:rPr>
            </w:pPr>
            <w:r w:rsidRPr="00E60046">
              <w:rPr>
                <w:rFonts w:ascii="Arial" w:hAnsi="Arial" w:cs="Arial"/>
                <w:b/>
              </w:rPr>
              <w:t>x</w:t>
            </w:r>
          </w:p>
        </w:tc>
      </w:tr>
      <w:tr w:rsidR="00363733" w:rsidRPr="00E60046" w14:paraId="14075908" w14:textId="77777777" w:rsidTr="008539A0">
        <w:tc>
          <w:tcPr>
            <w:tcW w:w="2977" w:type="dxa"/>
            <w:vAlign w:val="center"/>
          </w:tcPr>
          <w:p w14:paraId="10BB61E2" w14:textId="77777777" w:rsidR="00363733" w:rsidRPr="00E60046" w:rsidRDefault="00363733" w:rsidP="008539A0">
            <w:pPr>
              <w:spacing w:after="120"/>
              <w:rPr>
                <w:rFonts w:ascii="Arial" w:hAnsi="Arial" w:cs="Arial"/>
              </w:rPr>
            </w:pPr>
            <w:r w:rsidRPr="00E60046">
              <w:rPr>
                <w:rFonts w:ascii="Arial" w:hAnsi="Arial" w:cs="Arial"/>
              </w:rPr>
              <w:t>Lecture</w:t>
            </w:r>
          </w:p>
        </w:tc>
        <w:tc>
          <w:tcPr>
            <w:tcW w:w="567" w:type="dxa"/>
          </w:tcPr>
          <w:p w14:paraId="7FA6E248"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4043D36D"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0512CC66"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3D3829B1"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2EA42D77"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6B70F09D" w14:textId="77777777" w:rsidR="00363733" w:rsidRPr="00E60046" w:rsidRDefault="00363733" w:rsidP="008539A0">
            <w:pPr>
              <w:spacing w:after="120"/>
              <w:jc w:val="center"/>
              <w:rPr>
                <w:rFonts w:ascii="Arial" w:hAnsi="Arial" w:cs="Arial"/>
                <w:b/>
              </w:rPr>
            </w:pPr>
          </w:p>
        </w:tc>
        <w:tc>
          <w:tcPr>
            <w:tcW w:w="567" w:type="dxa"/>
          </w:tcPr>
          <w:p w14:paraId="66CBB4B0" w14:textId="77777777" w:rsidR="00363733" w:rsidRPr="00E60046" w:rsidRDefault="00363733" w:rsidP="008539A0">
            <w:pPr>
              <w:spacing w:after="120"/>
              <w:jc w:val="center"/>
              <w:rPr>
                <w:rFonts w:ascii="Arial" w:hAnsi="Arial" w:cs="Arial"/>
                <w:b/>
              </w:rPr>
            </w:pPr>
          </w:p>
        </w:tc>
        <w:tc>
          <w:tcPr>
            <w:tcW w:w="567" w:type="dxa"/>
          </w:tcPr>
          <w:p w14:paraId="2FDFB54E" w14:textId="77777777" w:rsidR="00363733" w:rsidRPr="00E60046" w:rsidRDefault="00363733" w:rsidP="008539A0">
            <w:pPr>
              <w:spacing w:after="120"/>
              <w:jc w:val="center"/>
              <w:rPr>
                <w:rFonts w:ascii="Arial" w:hAnsi="Arial" w:cs="Arial"/>
                <w:b/>
              </w:rPr>
            </w:pPr>
          </w:p>
        </w:tc>
        <w:tc>
          <w:tcPr>
            <w:tcW w:w="567" w:type="dxa"/>
          </w:tcPr>
          <w:p w14:paraId="343B445C" w14:textId="77777777" w:rsidR="00363733" w:rsidRPr="00E60046" w:rsidRDefault="00363733" w:rsidP="008539A0">
            <w:pPr>
              <w:spacing w:after="120"/>
              <w:jc w:val="center"/>
              <w:rPr>
                <w:rFonts w:ascii="Arial" w:hAnsi="Arial" w:cs="Arial"/>
                <w:b/>
              </w:rPr>
            </w:pPr>
          </w:p>
        </w:tc>
        <w:tc>
          <w:tcPr>
            <w:tcW w:w="567" w:type="dxa"/>
          </w:tcPr>
          <w:p w14:paraId="60BA3AC9"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636E2827" w14:textId="77777777" w:rsidR="00363733" w:rsidRPr="00E60046" w:rsidRDefault="00363733" w:rsidP="008539A0">
            <w:pPr>
              <w:spacing w:after="120"/>
              <w:jc w:val="center"/>
              <w:rPr>
                <w:rFonts w:ascii="Arial" w:hAnsi="Arial" w:cs="Arial"/>
                <w:b/>
              </w:rPr>
            </w:pPr>
          </w:p>
        </w:tc>
      </w:tr>
      <w:tr w:rsidR="00363733" w:rsidRPr="00E60046" w14:paraId="38452878" w14:textId="77777777" w:rsidTr="008539A0">
        <w:tc>
          <w:tcPr>
            <w:tcW w:w="2977" w:type="dxa"/>
            <w:vAlign w:val="center"/>
          </w:tcPr>
          <w:p w14:paraId="78EF3ADB" w14:textId="77777777" w:rsidR="00363733" w:rsidRPr="00E60046" w:rsidRDefault="00363733" w:rsidP="008539A0">
            <w:pPr>
              <w:spacing w:after="120"/>
              <w:rPr>
                <w:rFonts w:ascii="Arial" w:hAnsi="Arial" w:cs="Arial"/>
              </w:rPr>
            </w:pPr>
            <w:r w:rsidRPr="00E60046">
              <w:rPr>
                <w:rFonts w:ascii="Arial" w:hAnsi="Arial" w:cs="Arial"/>
              </w:rPr>
              <w:t>Seminar</w:t>
            </w:r>
          </w:p>
        </w:tc>
        <w:tc>
          <w:tcPr>
            <w:tcW w:w="567" w:type="dxa"/>
          </w:tcPr>
          <w:p w14:paraId="0CB1D12F"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1CB2A1A9"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0BF0A2F8"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29A8BE04"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498E6297"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76690B1A"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36DBD2E4"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2A3644C7"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7EF958DC" w14:textId="77777777" w:rsidR="00363733" w:rsidRPr="00E60046" w:rsidRDefault="00363733" w:rsidP="008539A0">
            <w:pPr>
              <w:spacing w:after="120"/>
              <w:jc w:val="center"/>
              <w:rPr>
                <w:rFonts w:ascii="Arial" w:hAnsi="Arial" w:cs="Arial"/>
                <w:b/>
              </w:rPr>
            </w:pPr>
          </w:p>
        </w:tc>
        <w:tc>
          <w:tcPr>
            <w:tcW w:w="567" w:type="dxa"/>
          </w:tcPr>
          <w:p w14:paraId="3ED2F692" w14:textId="77777777" w:rsidR="00363733" w:rsidRPr="00E60046" w:rsidRDefault="00363733" w:rsidP="008539A0">
            <w:pPr>
              <w:spacing w:after="120"/>
              <w:jc w:val="center"/>
              <w:rPr>
                <w:rFonts w:ascii="Arial" w:hAnsi="Arial" w:cs="Arial"/>
                <w:b/>
              </w:rPr>
            </w:pPr>
          </w:p>
        </w:tc>
        <w:tc>
          <w:tcPr>
            <w:tcW w:w="567" w:type="dxa"/>
          </w:tcPr>
          <w:p w14:paraId="3E4A0240" w14:textId="77777777" w:rsidR="00363733" w:rsidRPr="00E60046" w:rsidRDefault="00363733" w:rsidP="008539A0">
            <w:pPr>
              <w:spacing w:after="120"/>
              <w:jc w:val="center"/>
              <w:rPr>
                <w:rFonts w:ascii="Arial" w:hAnsi="Arial" w:cs="Arial"/>
                <w:b/>
              </w:rPr>
            </w:pPr>
            <w:r w:rsidRPr="00E60046">
              <w:rPr>
                <w:rFonts w:ascii="Arial" w:hAnsi="Arial" w:cs="Arial"/>
                <w:b/>
              </w:rPr>
              <w:t>x</w:t>
            </w:r>
          </w:p>
        </w:tc>
      </w:tr>
      <w:tr w:rsidR="00363733" w:rsidRPr="00E60046" w14:paraId="43768CA3" w14:textId="77777777" w:rsidTr="008539A0">
        <w:tc>
          <w:tcPr>
            <w:tcW w:w="2977" w:type="dxa"/>
            <w:shd w:val="clear" w:color="auto" w:fill="D9D9D9" w:themeFill="background1" w:themeFillShade="D9"/>
          </w:tcPr>
          <w:p w14:paraId="502E478E" w14:textId="77777777" w:rsidR="00363733" w:rsidRPr="00E60046" w:rsidRDefault="00363733" w:rsidP="008539A0">
            <w:pPr>
              <w:spacing w:after="120"/>
              <w:rPr>
                <w:rFonts w:ascii="Arial" w:hAnsi="Arial" w:cs="Arial"/>
                <w:b/>
              </w:rPr>
            </w:pPr>
            <w:r w:rsidRPr="00E60046">
              <w:rPr>
                <w:rFonts w:ascii="Arial" w:hAnsi="Arial" w:cs="Arial"/>
                <w:b/>
              </w:rPr>
              <w:t>Assessment method</w:t>
            </w:r>
          </w:p>
        </w:tc>
        <w:tc>
          <w:tcPr>
            <w:tcW w:w="567" w:type="dxa"/>
          </w:tcPr>
          <w:p w14:paraId="1A7BE2C3" w14:textId="77777777" w:rsidR="00363733" w:rsidRPr="00E60046" w:rsidRDefault="00363733" w:rsidP="008539A0">
            <w:pPr>
              <w:spacing w:after="120"/>
              <w:rPr>
                <w:rFonts w:ascii="Arial" w:hAnsi="Arial" w:cs="Arial"/>
                <w:b/>
              </w:rPr>
            </w:pPr>
          </w:p>
        </w:tc>
        <w:tc>
          <w:tcPr>
            <w:tcW w:w="567" w:type="dxa"/>
          </w:tcPr>
          <w:p w14:paraId="1DB713F4" w14:textId="77777777" w:rsidR="00363733" w:rsidRPr="00E60046" w:rsidRDefault="00363733" w:rsidP="008539A0">
            <w:pPr>
              <w:spacing w:after="120"/>
              <w:rPr>
                <w:rFonts w:ascii="Arial" w:hAnsi="Arial" w:cs="Arial"/>
                <w:b/>
              </w:rPr>
            </w:pPr>
          </w:p>
        </w:tc>
        <w:tc>
          <w:tcPr>
            <w:tcW w:w="567" w:type="dxa"/>
          </w:tcPr>
          <w:p w14:paraId="13854B90" w14:textId="77777777" w:rsidR="00363733" w:rsidRPr="00E60046" w:rsidRDefault="00363733" w:rsidP="008539A0">
            <w:pPr>
              <w:spacing w:after="120"/>
              <w:rPr>
                <w:rFonts w:ascii="Arial" w:hAnsi="Arial" w:cs="Arial"/>
                <w:b/>
              </w:rPr>
            </w:pPr>
          </w:p>
        </w:tc>
        <w:tc>
          <w:tcPr>
            <w:tcW w:w="567" w:type="dxa"/>
          </w:tcPr>
          <w:p w14:paraId="7BB09792" w14:textId="77777777" w:rsidR="00363733" w:rsidRPr="00E60046" w:rsidRDefault="00363733" w:rsidP="008539A0">
            <w:pPr>
              <w:spacing w:after="120"/>
              <w:rPr>
                <w:rFonts w:ascii="Arial" w:hAnsi="Arial" w:cs="Arial"/>
                <w:b/>
              </w:rPr>
            </w:pPr>
          </w:p>
        </w:tc>
        <w:tc>
          <w:tcPr>
            <w:tcW w:w="567" w:type="dxa"/>
          </w:tcPr>
          <w:p w14:paraId="40B3A816" w14:textId="77777777" w:rsidR="00363733" w:rsidRPr="00E60046" w:rsidRDefault="00363733" w:rsidP="008539A0">
            <w:pPr>
              <w:spacing w:after="120"/>
              <w:rPr>
                <w:rFonts w:ascii="Arial" w:hAnsi="Arial" w:cs="Arial"/>
                <w:b/>
              </w:rPr>
            </w:pPr>
          </w:p>
        </w:tc>
        <w:tc>
          <w:tcPr>
            <w:tcW w:w="567" w:type="dxa"/>
          </w:tcPr>
          <w:p w14:paraId="47442B22" w14:textId="77777777" w:rsidR="00363733" w:rsidRPr="00E60046" w:rsidRDefault="00363733" w:rsidP="008539A0">
            <w:pPr>
              <w:spacing w:after="120"/>
              <w:rPr>
                <w:rFonts w:ascii="Arial" w:hAnsi="Arial" w:cs="Arial"/>
                <w:b/>
              </w:rPr>
            </w:pPr>
          </w:p>
        </w:tc>
        <w:tc>
          <w:tcPr>
            <w:tcW w:w="567" w:type="dxa"/>
          </w:tcPr>
          <w:p w14:paraId="1D379AB5" w14:textId="77777777" w:rsidR="00363733" w:rsidRPr="00E60046" w:rsidRDefault="00363733" w:rsidP="008539A0">
            <w:pPr>
              <w:spacing w:after="120"/>
              <w:rPr>
                <w:rFonts w:ascii="Arial" w:hAnsi="Arial" w:cs="Arial"/>
                <w:b/>
              </w:rPr>
            </w:pPr>
          </w:p>
        </w:tc>
        <w:tc>
          <w:tcPr>
            <w:tcW w:w="567" w:type="dxa"/>
          </w:tcPr>
          <w:p w14:paraId="7936E60C" w14:textId="77777777" w:rsidR="00363733" w:rsidRPr="00E60046" w:rsidRDefault="00363733" w:rsidP="008539A0">
            <w:pPr>
              <w:spacing w:after="120"/>
              <w:rPr>
                <w:rFonts w:ascii="Arial" w:hAnsi="Arial" w:cs="Arial"/>
                <w:b/>
              </w:rPr>
            </w:pPr>
          </w:p>
        </w:tc>
        <w:tc>
          <w:tcPr>
            <w:tcW w:w="567" w:type="dxa"/>
          </w:tcPr>
          <w:p w14:paraId="4A244176" w14:textId="77777777" w:rsidR="00363733" w:rsidRPr="00E60046" w:rsidRDefault="00363733" w:rsidP="008539A0">
            <w:pPr>
              <w:spacing w:after="120"/>
              <w:rPr>
                <w:rFonts w:ascii="Arial" w:hAnsi="Arial" w:cs="Arial"/>
                <w:b/>
              </w:rPr>
            </w:pPr>
          </w:p>
        </w:tc>
        <w:tc>
          <w:tcPr>
            <w:tcW w:w="567" w:type="dxa"/>
          </w:tcPr>
          <w:p w14:paraId="6BF0234E" w14:textId="77777777" w:rsidR="00363733" w:rsidRPr="00E60046" w:rsidRDefault="00363733" w:rsidP="008539A0">
            <w:pPr>
              <w:spacing w:after="120"/>
              <w:rPr>
                <w:rFonts w:ascii="Arial" w:hAnsi="Arial" w:cs="Arial"/>
                <w:b/>
              </w:rPr>
            </w:pPr>
          </w:p>
        </w:tc>
        <w:tc>
          <w:tcPr>
            <w:tcW w:w="567" w:type="dxa"/>
          </w:tcPr>
          <w:p w14:paraId="76876690" w14:textId="77777777" w:rsidR="00363733" w:rsidRPr="00E60046" w:rsidRDefault="00363733" w:rsidP="008539A0">
            <w:pPr>
              <w:spacing w:after="120"/>
              <w:jc w:val="center"/>
              <w:rPr>
                <w:rFonts w:ascii="Arial" w:hAnsi="Arial" w:cs="Arial"/>
                <w:b/>
              </w:rPr>
            </w:pPr>
          </w:p>
        </w:tc>
      </w:tr>
      <w:tr w:rsidR="00731266" w:rsidRPr="00E60046" w14:paraId="4FF42147" w14:textId="77777777" w:rsidTr="008539A0">
        <w:tc>
          <w:tcPr>
            <w:tcW w:w="2977" w:type="dxa"/>
          </w:tcPr>
          <w:p w14:paraId="0DEB07FF" w14:textId="77777777" w:rsidR="00731266" w:rsidRPr="00E60046" w:rsidRDefault="00731266" w:rsidP="008539A0">
            <w:pPr>
              <w:spacing w:after="120"/>
              <w:rPr>
                <w:rFonts w:ascii="Arial" w:hAnsi="Arial" w:cs="Arial"/>
              </w:rPr>
            </w:pPr>
            <w:r w:rsidRPr="00E60046">
              <w:rPr>
                <w:rFonts w:ascii="Arial" w:hAnsi="Arial" w:cs="Arial"/>
              </w:rPr>
              <w:t>Essay</w:t>
            </w:r>
          </w:p>
        </w:tc>
        <w:tc>
          <w:tcPr>
            <w:tcW w:w="567" w:type="dxa"/>
          </w:tcPr>
          <w:p w14:paraId="0C9E7FAE" w14:textId="77777777" w:rsidR="00731266" w:rsidRPr="00E60046" w:rsidRDefault="00731266" w:rsidP="008539A0">
            <w:pPr>
              <w:spacing w:after="120"/>
              <w:jc w:val="center"/>
              <w:rPr>
                <w:rFonts w:ascii="Arial" w:hAnsi="Arial" w:cs="Arial"/>
                <w:b/>
              </w:rPr>
            </w:pPr>
            <w:r w:rsidRPr="00E60046">
              <w:rPr>
                <w:rFonts w:ascii="Arial" w:hAnsi="Arial" w:cs="Arial"/>
                <w:b/>
              </w:rPr>
              <w:t>x</w:t>
            </w:r>
          </w:p>
        </w:tc>
        <w:tc>
          <w:tcPr>
            <w:tcW w:w="567" w:type="dxa"/>
          </w:tcPr>
          <w:p w14:paraId="3794F8F9" w14:textId="77777777" w:rsidR="00731266" w:rsidRPr="00E60046" w:rsidRDefault="00731266" w:rsidP="008539A0">
            <w:pPr>
              <w:spacing w:after="120"/>
              <w:jc w:val="center"/>
              <w:rPr>
                <w:rFonts w:ascii="Arial" w:hAnsi="Arial" w:cs="Arial"/>
                <w:b/>
              </w:rPr>
            </w:pPr>
            <w:r w:rsidRPr="00E60046">
              <w:rPr>
                <w:rFonts w:ascii="Arial" w:hAnsi="Arial" w:cs="Arial"/>
                <w:b/>
              </w:rPr>
              <w:t>x</w:t>
            </w:r>
          </w:p>
        </w:tc>
        <w:tc>
          <w:tcPr>
            <w:tcW w:w="567" w:type="dxa"/>
          </w:tcPr>
          <w:p w14:paraId="69203C3A" w14:textId="77777777" w:rsidR="00731266" w:rsidRPr="00E60046" w:rsidRDefault="00731266" w:rsidP="008539A0">
            <w:pPr>
              <w:spacing w:after="120"/>
              <w:jc w:val="center"/>
              <w:rPr>
                <w:rFonts w:ascii="Arial" w:hAnsi="Arial" w:cs="Arial"/>
                <w:b/>
              </w:rPr>
            </w:pPr>
            <w:r w:rsidRPr="00E60046">
              <w:rPr>
                <w:rFonts w:ascii="Arial" w:hAnsi="Arial" w:cs="Arial"/>
                <w:b/>
              </w:rPr>
              <w:t>x</w:t>
            </w:r>
          </w:p>
        </w:tc>
        <w:tc>
          <w:tcPr>
            <w:tcW w:w="567" w:type="dxa"/>
          </w:tcPr>
          <w:p w14:paraId="14B359C2" w14:textId="77777777" w:rsidR="00731266" w:rsidRPr="00E60046" w:rsidRDefault="00731266" w:rsidP="008539A0">
            <w:pPr>
              <w:spacing w:after="120"/>
              <w:jc w:val="center"/>
              <w:rPr>
                <w:rFonts w:ascii="Arial" w:hAnsi="Arial" w:cs="Arial"/>
                <w:b/>
              </w:rPr>
            </w:pPr>
            <w:r w:rsidRPr="00E60046">
              <w:rPr>
                <w:rFonts w:ascii="Arial" w:hAnsi="Arial" w:cs="Arial"/>
                <w:b/>
              </w:rPr>
              <w:t>x</w:t>
            </w:r>
          </w:p>
        </w:tc>
        <w:tc>
          <w:tcPr>
            <w:tcW w:w="567" w:type="dxa"/>
          </w:tcPr>
          <w:p w14:paraId="3F873567" w14:textId="591BD8EC" w:rsidR="00731266" w:rsidRPr="00E60046" w:rsidRDefault="000011CD" w:rsidP="008539A0">
            <w:pPr>
              <w:spacing w:after="120"/>
              <w:jc w:val="center"/>
              <w:rPr>
                <w:rFonts w:ascii="Arial" w:hAnsi="Arial" w:cs="Arial"/>
                <w:b/>
              </w:rPr>
            </w:pPr>
            <w:r>
              <w:rPr>
                <w:rFonts w:ascii="Arial" w:hAnsi="Arial" w:cs="Arial"/>
                <w:b/>
              </w:rPr>
              <w:t>x</w:t>
            </w:r>
          </w:p>
        </w:tc>
        <w:tc>
          <w:tcPr>
            <w:tcW w:w="567" w:type="dxa"/>
          </w:tcPr>
          <w:p w14:paraId="411886A9" w14:textId="77777777" w:rsidR="00731266" w:rsidRPr="00E60046" w:rsidRDefault="00731266" w:rsidP="008539A0">
            <w:pPr>
              <w:spacing w:after="120"/>
              <w:jc w:val="center"/>
              <w:rPr>
                <w:rFonts w:ascii="Arial" w:hAnsi="Arial" w:cs="Arial"/>
                <w:b/>
              </w:rPr>
            </w:pPr>
            <w:r w:rsidRPr="00E60046">
              <w:rPr>
                <w:rFonts w:ascii="Arial" w:hAnsi="Arial" w:cs="Arial"/>
                <w:b/>
              </w:rPr>
              <w:t>x</w:t>
            </w:r>
          </w:p>
        </w:tc>
        <w:tc>
          <w:tcPr>
            <w:tcW w:w="567" w:type="dxa"/>
          </w:tcPr>
          <w:p w14:paraId="64F2DDDB" w14:textId="77777777" w:rsidR="00731266" w:rsidRPr="00E60046" w:rsidRDefault="00731266" w:rsidP="008539A0">
            <w:pPr>
              <w:spacing w:after="120"/>
              <w:jc w:val="center"/>
              <w:rPr>
                <w:rFonts w:ascii="Arial" w:hAnsi="Arial" w:cs="Arial"/>
                <w:b/>
              </w:rPr>
            </w:pPr>
            <w:r w:rsidRPr="00E60046">
              <w:rPr>
                <w:rFonts w:ascii="Arial" w:hAnsi="Arial" w:cs="Arial"/>
                <w:b/>
              </w:rPr>
              <w:t>x</w:t>
            </w:r>
          </w:p>
        </w:tc>
        <w:tc>
          <w:tcPr>
            <w:tcW w:w="567" w:type="dxa"/>
          </w:tcPr>
          <w:p w14:paraId="5435F9F1" w14:textId="1C5DC0A9" w:rsidR="00731266" w:rsidRPr="00E60046" w:rsidRDefault="000011CD" w:rsidP="008539A0">
            <w:pPr>
              <w:spacing w:after="120"/>
              <w:jc w:val="center"/>
              <w:rPr>
                <w:rFonts w:ascii="Arial" w:hAnsi="Arial" w:cs="Arial"/>
                <w:b/>
              </w:rPr>
            </w:pPr>
            <w:r>
              <w:rPr>
                <w:rFonts w:ascii="Arial" w:hAnsi="Arial" w:cs="Arial"/>
                <w:b/>
              </w:rPr>
              <w:t>x</w:t>
            </w:r>
          </w:p>
        </w:tc>
        <w:tc>
          <w:tcPr>
            <w:tcW w:w="567" w:type="dxa"/>
          </w:tcPr>
          <w:p w14:paraId="35C27528" w14:textId="77777777" w:rsidR="00731266" w:rsidRPr="00E60046" w:rsidRDefault="00731266" w:rsidP="008539A0">
            <w:pPr>
              <w:spacing w:after="120"/>
              <w:jc w:val="center"/>
              <w:rPr>
                <w:rFonts w:ascii="Arial" w:hAnsi="Arial" w:cs="Arial"/>
                <w:b/>
              </w:rPr>
            </w:pPr>
            <w:r w:rsidRPr="00E60046">
              <w:rPr>
                <w:rFonts w:ascii="Arial" w:hAnsi="Arial" w:cs="Arial"/>
                <w:b/>
              </w:rPr>
              <w:t>x</w:t>
            </w:r>
          </w:p>
        </w:tc>
        <w:tc>
          <w:tcPr>
            <w:tcW w:w="567" w:type="dxa"/>
          </w:tcPr>
          <w:p w14:paraId="00155AE0" w14:textId="77777777" w:rsidR="00731266" w:rsidRPr="00E60046" w:rsidRDefault="00731266" w:rsidP="008539A0">
            <w:pPr>
              <w:spacing w:after="120"/>
              <w:jc w:val="center"/>
              <w:rPr>
                <w:rFonts w:ascii="Arial" w:hAnsi="Arial" w:cs="Arial"/>
                <w:b/>
              </w:rPr>
            </w:pPr>
            <w:r w:rsidRPr="00E60046">
              <w:rPr>
                <w:rFonts w:ascii="Arial" w:hAnsi="Arial" w:cs="Arial"/>
                <w:b/>
              </w:rPr>
              <w:t>x</w:t>
            </w:r>
          </w:p>
        </w:tc>
        <w:tc>
          <w:tcPr>
            <w:tcW w:w="567" w:type="dxa"/>
          </w:tcPr>
          <w:p w14:paraId="4E4BE099" w14:textId="77777777" w:rsidR="00731266" w:rsidRPr="00E60046" w:rsidRDefault="00731266" w:rsidP="008539A0">
            <w:pPr>
              <w:spacing w:after="120"/>
              <w:jc w:val="center"/>
              <w:rPr>
                <w:rFonts w:ascii="Arial" w:hAnsi="Arial" w:cs="Arial"/>
                <w:b/>
              </w:rPr>
            </w:pPr>
            <w:r w:rsidRPr="00E60046">
              <w:rPr>
                <w:rFonts w:ascii="Arial" w:hAnsi="Arial" w:cs="Arial"/>
                <w:b/>
              </w:rPr>
              <w:t>x</w:t>
            </w:r>
          </w:p>
        </w:tc>
      </w:tr>
      <w:tr w:rsidR="00363733" w:rsidRPr="00E60046" w14:paraId="4B32A43C" w14:textId="77777777" w:rsidTr="008539A0">
        <w:tc>
          <w:tcPr>
            <w:tcW w:w="2977" w:type="dxa"/>
          </w:tcPr>
          <w:p w14:paraId="35FE1977" w14:textId="77777777" w:rsidR="00363733" w:rsidRPr="00E60046" w:rsidRDefault="00363733" w:rsidP="008539A0">
            <w:pPr>
              <w:spacing w:after="120"/>
              <w:rPr>
                <w:rFonts w:ascii="Arial" w:hAnsi="Arial" w:cs="Arial"/>
              </w:rPr>
            </w:pPr>
            <w:r>
              <w:rPr>
                <w:rFonts w:ascii="Arial" w:hAnsi="Arial" w:cs="Arial"/>
              </w:rPr>
              <w:t xml:space="preserve">Group </w:t>
            </w:r>
            <w:r w:rsidRPr="00E60046">
              <w:rPr>
                <w:rFonts w:ascii="Arial" w:hAnsi="Arial" w:cs="Arial"/>
              </w:rPr>
              <w:t>Presentation</w:t>
            </w:r>
          </w:p>
        </w:tc>
        <w:tc>
          <w:tcPr>
            <w:tcW w:w="567" w:type="dxa"/>
          </w:tcPr>
          <w:p w14:paraId="7023B24F"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247C76DD"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55E8C0FE"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5D40BFC4"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1809A6D6"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4552110C"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7864C0C3"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4C43FD03"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674E45D0"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40D921B7"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64EF4B8F" w14:textId="77777777" w:rsidR="00363733" w:rsidRPr="00E60046" w:rsidRDefault="00363733" w:rsidP="008539A0">
            <w:pPr>
              <w:spacing w:after="120"/>
              <w:jc w:val="center"/>
              <w:rPr>
                <w:rFonts w:ascii="Arial" w:hAnsi="Arial" w:cs="Arial"/>
                <w:b/>
              </w:rPr>
            </w:pPr>
          </w:p>
        </w:tc>
      </w:tr>
      <w:tr w:rsidR="00363733" w:rsidRPr="00E60046" w14:paraId="43E411D2" w14:textId="77777777" w:rsidTr="008539A0">
        <w:tc>
          <w:tcPr>
            <w:tcW w:w="2977" w:type="dxa"/>
          </w:tcPr>
          <w:p w14:paraId="16786339" w14:textId="77777777" w:rsidR="00363733" w:rsidRPr="00E60046" w:rsidRDefault="00363733" w:rsidP="008539A0">
            <w:pPr>
              <w:spacing w:after="120"/>
              <w:rPr>
                <w:rFonts w:ascii="Arial" w:hAnsi="Arial" w:cs="Arial"/>
              </w:rPr>
            </w:pPr>
            <w:r w:rsidRPr="00E60046">
              <w:rPr>
                <w:rFonts w:ascii="Arial" w:hAnsi="Arial" w:cs="Arial"/>
              </w:rPr>
              <w:t>Examination</w:t>
            </w:r>
          </w:p>
        </w:tc>
        <w:tc>
          <w:tcPr>
            <w:tcW w:w="567" w:type="dxa"/>
          </w:tcPr>
          <w:p w14:paraId="23833615"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7BBE9C31"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5A7AF876" w14:textId="77777777" w:rsidR="00363733" w:rsidRPr="00E60046" w:rsidRDefault="00363733" w:rsidP="008539A0">
            <w:pPr>
              <w:spacing w:after="120"/>
              <w:jc w:val="center"/>
              <w:rPr>
                <w:rFonts w:ascii="Arial" w:hAnsi="Arial" w:cs="Arial"/>
                <w:b/>
              </w:rPr>
            </w:pPr>
          </w:p>
        </w:tc>
        <w:tc>
          <w:tcPr>
            <w:tcW w:w="567" w:type="dxa"/>
          </w:tcPr>
          <w:p w14:paraId="3A9AC007"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5DC59B5E" w14:textId="77777777" w:rsidR="00363733" w:rsidRPr="00E60046" w:rsidRDefault="00363733" w:rsidP="008539A0">
            <w:pPr>
              <w:spacing w:after="120"/>
              <w:jc w:val="center"/>
              <w:rPr>
                <w:rFonts w:ascii="Arial" w:hAnsi="Arial" w:cs="Arial"/>
                <w:b/>
              </w:rPr>
            </w:pPr>
          </w:p>
        </w:tc>
        <w:tc>
          <w:tcPr>
            <w:tcW w:w="567" w:type="dxa"/>
          </w:tcPr>
          <w:p w14:paraId="00E6424A" w14:textId="77777777" w:rsidR="00363733" w:rsidRPr="00E60046" w:rsidRDefault="00363733" w:rsidP="008539A0">
            <w:pPr>
              <w:spacing w:after="120"/>
              <w:jc w:val="center"/>
              <w:rPr>
                <w:rFonts w:ascii="Arial" w:hAnsi="Arial" w:cs="Arial"/>
                <w:b/>
              </w:rPr>
            </w:pPr>
          </w:p>
        </w:tc>
        <w:tc>
          <w:tcPr>
            <w:tcW w:w="567" w:type="dxa"/>
          </w:tcPr>
          <w:p w14:paraId="1C89BBE5"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6AF9FDB5" w14:textId="77777777" w:rsidR="00363733" w:rsidRPr="00E60046" w:rsidRDefault="00363733" w:rsidP="008539A0">
            <w:pPr>
              <w:spacing w:after="120"/>
              <w:jc w:val="center"/>
              <w:rPr>
                <w:rFonts w:ascii="Arial" w:hAnsi="Arial" w:cs="Arial"/>
                <w:b/>
              </w:rPr>
            </w:pPr>
          </w:p>
        </w:tc>
        <w:tc>
          <w:tcPr>
            <w:tcW w:w="567" w:type="dxa"/>
          </w:tcPr>
          <w:p w14:paraId="1386F2F8" w14:textId="77777777" w:rsidR="00363733" w:rsidRPr="00E60046" w:rsidRDefault="00363733" w:rsidP="008539A0">
            <w:pPr>
              <w:spacing w:after="120"/>
              <w:jc w:val="center"/>
              <w:rPr>
                <w:rFonts w:ascii="Arial" w:hAnsi="Arial" w:cs="Arial"/>
                <w:b/>
              </w:rPr>
            </w:pPr>
          </w:p>
        </w:tc>
        <w:tc>
          <w:tcPr>
            <w:tcW w:w="567" w:type="dxa"/>
          </w:tcPr>
          <w:p w14:paraId="3B23C6AC" w14:textId="77777777" w:rsidR="00363733" w:rsidRPr="00E60046" w:rsidRDefault="00363733" w:rsidP="008539A0">
            <w:pPr>
              <w:spacing w:after="120"/>
              <w:jc w:val="center"/>
              <w:rPr>
                <w:rFonts w:ascii="Arial" w:hAnsi="Arial" w:cs="Arial"/>
                <w:b/>
              </w:rPr>
            </w:pPr>
            <w:r w:rsidRPr="00E60046">
              <w:rPr>
                <w:rFonts w:ascii="Arial" w:hAnsi="Arial" w:cs="Arial"/>
                <w:b/>
              </w:rPr>
              <w:t>x</w:t>
            </w:r>
          </w:p>
        </w:tc>
        <w:tc>
          <w:tcPr>
            <w:tcW w:w="567" w:type="dxa"/>
          </w:tcPr>
          <w:p w14:paraId="66897F43" w14:textId="77777777" w:rsidR="00363733" w:rsidRPr="00E60046" w:rsidRDefault="00363733" w:rsidP="008539A0">
            <w:pPr>
              <w:spacing w:after="120"/>
              <w:jc w:val="center"/>
              <w:rPr>
                <w:rFonts w:ascii="Arial" w:hAnsi="Arial" w:cs="Arial"/>
                <w:b/>
              </w:rPr>
            </w:pPr>
            <w:r w:rsidRPr="00E60046">
              <w:rPr>
                <w:rFonts w:ascii="Arial" w:hAnsi="Arial" w:cs="Arial"/>
                <w:b/>
              </w:rPr>
              <w:t>x</w:t>
            </w:r>
          </w:p>
        </w:tc>
      </w:tr>
    </w:tbl>
    <w:p w14:paraId="69CF05D9" w14:textId="77777777" w:rsidR="007A6245" w:rsidRDefault="007A6245" w:rsidP="009D52D0">
      <w:pPr>
        <w:spacing w:after="120" w:line="240" w:lineRule="auto"/>
        <w:ind w:left="426" w:right="543"/>
        <w:rPr>
          <w:rFonts w:ascii="Arial" w:hAnsi="Arial" w:cs="Arial"/>
          <w:b/>
          <w:iCs/>
          <w:sz w:val="24"/>
          <w:szCs w:val="24"/>
        </w:rPr>
      </w:pPr>
    </w:p>
    <w:p w14:paraId="46203358" w14:textId="77777777" w:rsidR="00883204" w:rsidRPr="009D52D0" w:rsidRDefault="00883204" w:rsidP="009D52D0">
      <w:pPr>
        <w:numPr>
          <w:ilvl w:val="0"/>
          <w:numId w:val="1"/>
        </w:numPr>
        <w:spacing w:after="120" w:line="240" w:lineRule="auto"/>
        <w:ind w:left="567" w:right="543" w:hanging="567"/>
        <w:jc w:val="both"/>
        <w:rPr>
          <w:rFonts w:ascii="Arial" w:hAnsi="Arial" w:cs="Arial"/>
          <w:iCs/>
          <w:sz w:val="24"/>
          <w:szCs w:val="24"/>
        </w:rPr>
      </w:pPr>
      <w:r w:rsidRPr="009D52D0">
        <w:rPr>
          <w:rFonts w:ascii="Arial" w:hAnsi="Arial" w:cs="Arial"/>
          <w:b/>
          <w:bCs/>
          <w:sz w:val="24"/>
          <w:szCs w:val="24"/>
        </w:rPr>
        <w:t xml:space="preserve">Inclusive module design </w:t>
      </w:r>
    </w:p>
    <w:p w14:paraId="5C5E84D1" w14:textId="5F6AD6EC"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w:t>
      </w:r>
      <w:r w:rsidR="007A49C1" w:rsidRPr="009D52D0">
        <w:rPr>
          <w:rFonts w:ascii="Arial" w:hAnsi="Arial" w:cs="Arial"/>
          <w:sz w:val="24"/>
          <w:szCs w:val="24"/>
        </w:rPr>
        <w:t>Division</w:t>
      </w:r>
      <w:r w:rsidR="00731266">
        <w:rPr>
          <w:rFonts w:ascii="Arial" w:hAnsi="Arial" w:cs="Arial"/>
          <w:sz w:val="24"/>
          <w:szCs w:val="24"/>
        </w:rPr>
        <w:t xml:space="preserve"> </w:t>
      </w:r>
      <w:r w:rsidRPr="009D52D0">
        <w:rPr>
          <w:rFonts w:ascii="Arial" w:hAnsi="Arial" w:cs="Arial"/>
          <w:sz w:val="24"/>
          <w:szCs w:val="24"/>
        </w:rPr>
        <w:t>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311A3B90" w14:textId="7777777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inclusive practices in the guidance (see Annex B Appendix A) have been considered in order to support all students in the following areas:</w:t>
      </w:r>
    </w:p>
    <w:p w14:paraId="566BE3E5" w14:textId="77777777" w:rsidR="00883204" w:rsidRPr="009D52D0" w:rsidRDefault="00883204" w:rsidP="009D52D0">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0412A734" w14:textId="77777777" w:rsidR="00883204" w:rsidRPr="009D52D0" w:rsidRDefault="00883204" w:rsidP="009D52D0">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w:t>
      </w:r>
      <w:r w:rsidR="00BB2045" w:rsidRPr="009D52D0">
        <w:rPr>
          <w:rFonts w:ascii="Arial" w:hAnsi="Arial" w:cs="Arial"/>
          <w:bCs/>
          <w:sz w:val="24"/>
          <w:szCs w:val="24"/>
        </w:rPr>
        <w:t>,</w:t>
      </w:r>
      <w:r w:rsidRPr="009D52D0">
        <w:rPr>
          <w:rFonts w:ascii="Arial" w:hAnsi="Arial" w:cs="Arial"/>
          <w:bCs/>
          <w:sz w:val="24"/>
          <w:szCs w:val="24"/>
        </w:rPr>
        <w:t xml:space="preserve"> teaching and assessment methods</w:t>
      </w:r>
    </w:p>
    <w:p w14:paraId="494A43BF"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Campus(es) or c</w:t>
      </w:r>
      <w:r w:rsidR="009A2D37" w:rsidRPr="009D52D0">
        <w:rPr>
          <w:rFonts w:ascii="Arial" w:hAnsi="Arial" w:cs="Arial"/>
          <w:b/>
          <w:sz w:val="24"/>
          <w:szCs w:val="24"/>
        </w:rPr>
        <w:t>entre(s)</w:t>
      </w:r>
      <w:r w:rsidRPr="009D52D0">
        <w:rPr>
          <w:rFonts w:ascii="Arial" w:hAnsi="Arial" w:cs="Arial"/>
          <w:b/>
          <w:sz w:val="24"/>
          <w:szCs w:val="24"/>
        </w:rPr>
        <w:t xml:space="preserve"> where module will be delivered</w:t>
      </w:r>
    </w:p>
    <w:p w14:paraId="7E99DEF4" w14:textId="0A93D2B3" w:rsidR="008D4447" w:rsidRPr="008D4447" w:rsidRDefault="00731266" w:rsidP="00A2277B">
      <w:pPr>
        <w:spacing w:after="120" w:line="240" w:lineRule="auto"/>
        <w:ind w:left="567" w:right="543"/>
        <w:rPr>
          <w:rFonts w:ascii="Arial" w:hAnsi="Arial" w:cs="Arial"/>
          <w:iCs/>
          <w:sz w:val="24"/>
          <w:szCs w:val="24"/>
        </w:rPr>
      </w:pPr>
      <w:r>
        <w:rPr>
          <w:rFonts w:ascii="Arial" w:hAnsi="Arial" w:cs="Arial"/>
          <w:iCs/>
          <w:sz w:val="24"/>
          <w:szCs w:val="24"/>
        </w:rPr>
        <w:t>Canterbury</w:t>
      </w:r>
    </w:p>
    <w:p w14:paraId="700B25AF" w14:textId="77777777" w:rsidR="00883204" w:rsidRPr="009D52D0" w:rsidRDefault="00883204" w:rsidP="009D52D0">
      <w:pPr>
        <w:numPr>
          <w:ilvl w:val="0"/>
          <w:numId w:val="1"/>
        </w:numPr>
        <w:spacing w:after="120" w:line="240" w:lineRule="auto"/>
        <w:ind w:left="567" w:right="543" w:hanging="568"/>
        <w:jc w:val="both"/>
        <w:rPr>
          <w:rFonts w:ascii="Arial" w:hAnsi="Arial" w:cs="Arial"/>
          <w:b/>
          <w:sz w:val="24"/>
          <w:szCs w:val="24"/>
        </w:rPr>
      </w:pPr>
      <w:r w:rsidRPr="009D52D0">
        <w:rPr>
          <w:rFonts w:ascii="Arial" w:hAnsi="Arial" w:cs="Arial"/>
          <w:b/>
          <w:sz w:val="24"/>
          <w:szCs w:val="24"/>
        </w:rPr>
        <w:t xml:space="preserve">Internationalisation </w:t>
      </w:r>
    </w:p>
    <w:p w14:paraId="14511B53" w14:textId="462D5B47" w:rsidR="008D4447" w:rsidRPr="008D4447" w:rsidRDefault="00731266" w:rsidP="00731266">
      <w:pPr>
        <w:spacing w:after="120" w:line="240" w:lineRule="auto"/>
        <w:ind w:left="567" w:right="543"/>
        <w:jc w:val="both"/>
        <w:rPr>
          <w:rFonts w:ascii="Arial" w:hAnsi="Arial" w:cs="Arial"/>
          <w:iCs/>
          <w:sz w:val="24"/>
          <w:szCs w:val="24"/>
        </w:rPr>
      </w:pPr>
      <w:r w:rsidRPr="00731266">
        <w:rPr>
          <w:rFonts w:ascii="Arial" w:hAnsi="Arial" w:cs="Arial"/>
          <w:iCs/>
          <w:sz w:val="24"/>
          <w:szCs w:val="24"/>
        </w:rPr>
        <w:t>The module draws on findings from a wide range of languages, encouraging students to discover for themselves which features of language use are universal and which are culture-specific.</w:t>
      </w:r>
    </w:p>
    <w:p w14:paraId="7D5AAF32" w14:textId="77777777" w:rsidR="009D52D0" w:rsidRDefault="009D52D0">
      <w:pPr>
        <w:rPr>
          <w:rFonts w:ascii="Arial" w:hAnsi="Arial" w:cs="Arial"/>
          <w:sz w:val="24"/>
          <w:szCs w:val="24"/>
        </w:rPr>
      </w:pPr>
      <w:r>
        <w:rPr>
          <w:rFonts w:ascii="Arial" w:hAnsi="Arial" w:cs="Arial"/>
          <w:sz w:val="24"/>
          <w:szCs w:val="24"/>
        </w:rPr>
        <w:br w:type="page"/>
      </w:r>
    </w:p>
    <w:p w14:paraId="1B001DE2" w14:textId="77777777" w:rsidR="00641D6D" w:rsidRPr="009D52D0" w:rsidRDefault="00641D6D" w:rsidP="009D52D0">
      <w:pPr>
        <w:pBdr>
          <w:bottom w:val="single" w:sz="6" w:space="1" w:color="auto"/>
        </w:pBdr>
        <w:spacing w:after="120" w:line="240" w:lineRule="auto"/>
        <w:ind w:right="543"/>
        <w:rPr>
          <w:rFonts w:ascii="Arial" w:hAnsi="Arial" w:cs="Arial"/>
          <w:sz w:val="24"/>
          <w:szCs w:val="24"/>
        </w:rPr>
      </w:pPr>
    </w:p>
    <w:p w14:paraId="6E871F5F" w14:textId="5BCEDB90" w:rsidR="00441E76" w:rsidRPr="009D52D0" w:rsidRDefault="00A05CF7" w:rsidP="009D52D0">
      <w:pPr>
        <w:spacing w:after="120" w:line="240" w:lineRule="auto"/>
        <w:ind w:right="543"/>
        <w:rPr>
          <w:rFonts w:ascii="Arial" w:hAnsi="Arial" w:cs="Arial"/>
          <w:b/>
          <w:sz w:val="24"/>
          <w:szCs w:val="24"/>
        </w:rPr>
      </w:pPr>
      <w:r>
        <w:rPr>
          <w:rFonts w:ascii="Arial" w:hAnsi="Arial" w:cs="Arial"/>
          <w:b/>
          <w:sz w:val="24"/>
          <w:szCs w:val="24"/>
        </w:rPr>
        <w:t>DIVISION</w:t>
      </w:r>
      <w:r w:rsidR="00441E76" w:rsidRPr="009D52D0">
        <w:rPr>
          <w:rFonts w:ascii="Arial" w:hAnsi="Arial" w:cs="Arial"/>
          <w:b/>
          <w:sz w:val="24"/>
          <w:szCs w:val="24"/>
        </w:rPr>
        <w:t xml:space="preserve"> USE ONLY</w:t>
      </w:r>
      <w:r w:rsidR="00C612A8" w:rsidRPr="009D52D0">
        <w:rPr>
          <w:rFonts w:ascii="Arial" w:hAnsi="Arial" w:cs="Arial"/>
          <w:b/>
          <w:sz w:val="24"/>
          <w:szCs w:val="24"/>
        </w:rPr>
        <w:t xml:space="preserve"> </w:t>
      </w:r>
    </w:p>
    <w:p w14:paraId="50CB6929" w14:textId="77777777" w:rsidR="00D83563" w:rsidRPr="009D52D0" w:rsidRDefault="00D83563" w:rsidP="009D52D0">
      <w:pPr>
        <w:spacing w:after="120" w:line="240" w:lineRule="auto"/>
        <w:ind w:right="543"/>
        <w:rPr>
          <w:rFonts w:ascii="Arial" w:hAnsi="Arial" w:cs="Arial"/>
          <w:b/>
          <w:sz w:val="24"/>
          <w:szCs w:val="24"/>
        </w:rPr>
      </w:pPr>
      <w:r w:rsidRPr="009D52D0">
        <w:rPr>
          <w:rFonts w:ascii="Arial" w:hAnsi="Arial" w:cs="Arial"/>
          <w:b/>
          <w:sz w:val="24"/>
          <w:szCs w:val="24"/>
        </w:rPr>
        <w:t>Revision record – all revisions must be recorded in the grid and full details of the change retained in the appropriate committee records.</w:t>
      </w:r>
    </w:p>
    <w:p w14:paraId="268E283B"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343" w:type="dxa"/>
        <w:tblLook w:val="04A0" w:firstRow="1" w:lastRow="0" w:firstColumn="1" w:lastColumn="0" w:noHBand="0" w:noVBand="1"/>
      </w:tblPr>
      <w:tblGrid>
        <w:gridCol w:w="1593"/>
        <w:gridCol w:w="1815"/>
        <w:gridCol w:w="1974"/>
        <w:gridCol w:w="2359"/>
        <w:gridCol w:w="2602"/>
      </w:tblGrid>
      <w:tr w:rsidR="00302082" w:rsidRPr="009D52D0" w14:paraId="26464EE0" w14:textId="77777777" w:rsidTr="00731266">
        <w:trPr>
          <w:trHeight w:val="317"/>
        </w:trPr>
        <w:tc>
          <w:tcPr>
            <w:tcW w:w="1593" w:type="dxa"/>
          </w:tcPr>
          <w:p w14:paraId="36AA2D36" w14:textId="77777777" w:rsidR="00422B69" w:rsidRPr="009D52D0" w:rsidRDefault="00422B69" w:rsidP="00731266">
            <w:pPr>
              <w:spacing w:after="120"/>
              <w:ind w:right="70"/>
              <w:rPr>
                <w:rFonts w:ascii="Arial" w:hAnsi="Arial" w:cs="Arial"/>
                <w:sz w:val="20"/>
                <w:szCs w:val="20"/>
              </w:rPr>
            </w:pPr>
            <w:r w:rsidRPr="009D52D0">
              <w:rPr>
                <w:rFonts w:ascii="Arial" w:hAnsi="Arial" w:cs="Arial"/>
                <w:sz w:val="20"/>
                <w:szCs w:val="20"/>
              </w:rPr>
              <w:t>Date approved</w:t>
            </w:r>
          </w:p>
        </w:tc>
        <w:tc>
          <w:tcPr>
            <w:tcW w:w="1815" w:type="dxa"/>
          </w:tcPr>
          <w:p w14:paraId="399538EC" w14:textId="77777777" w:rsidR="00422B69" w:rsidRPr="009D52D0" w:rsidRDefault="00422B69" w:rsidP="00731266">
            <w:pPr>
              <w:spacing w:after="120"/>
              <w:ind w:right="39"/>
              <w:rPr>
                <w:rFonts w:ascii="Arial" w:hAnsi="Arial" w:cs="Arial"/>
                <w:sz w:val="20"/>
                <w:szCs w:val="20"/>
              </w:rPr>
            </w:pPr>
            <w:r w:rsidRPr="009D52D0">
              <w:rPr>
                <w:rFonts w:ascii="Arial" w:hAnsi="Arial" w:cs="Arial"/>
                <w:sz w:val="20"/>
                <w:szCs w:val="20"/>
              </w:rPr>
              <w:t>Major/minor revision</w:t>
            </w:r>
          </w:p>
        </w:tc>
        <w:tc>
          <w:tcPr>
            <w:tcW w:w="1974" w:type="dxa"/>
          </w:tcPr>
          <w:p w14:paraId="2CB59A71" w14:textId="77777777" w:rsidR="00422B69" w:rsidRPr="009D52D0" w:rsidRDefault="00422B69" w:rsidP="00731266">
            <w:pPr>
              <w:spacing w:after="120"/>
              <w:ind w:right="35"/>
              <w:rPr>
                <w:rFonts w:ascii="Arial" w:hAnsi="Arial" w:cs="Arial"/>
                <w:sz w:val="20"/>
                <w:szCs w:val="20"/>
              </w:rPr>
            </w:pPr>
            <w:r w:rsidRPr="009D52D0">
              <w:rPr>
                <w:rFonts w:ascii="Arial" w:hAnsi="Arial" w:cs="Arial"/>
                <w:sz w:val="20"/>
                <w:szCs w:val="20"/>
              </w:rPr>
              <w:t>Start date of</w:t>
            </w:r>
            <w:r w:rsidR="00710647" w:rsidRPr="009D52D0">
              <w:rPr>
                <w:rFonts w:ascii="Arial" w:hAnsi="Arial" w:cs="Arial"/>
                <w:sz w:val="20"/>
                <w:szCs w:val="20"/>
              </w:rPr>
              <w:t xml:space="preserve"> delivery of </w:t>
            </w:r>
            <w:r w:rsidRPr="009D52D0">
              <w:rPr>
                <w:rFonts w:ascii="Arial" w:hAnsi="Arial" w:cs="Arial"/>
                <w:sz w:val="20"/>
                <w:szCs w:val="20"/>
              </w:rPr>
              <w:t>revised version</w:t>
            </w:r>
          </w:p>
        </w:tc>
        <w:tc>
          <w:tcPr>
            <w:tcW w:w="2359" w:type="dxa"/>
          </w:tcPr>
          <w:p w14:paraId="4DF29952" w14:textId="77777777" w:rsidR="00422B69" w:rsidRPr="009D52D0" w:rsidRDefault="00422B69" w:rsidP="00731266">
            <w:pPr>
              <w:spacing w:after="120"/>
              <w:ind w:right="119"/>
              <w:rPr>
                <w:rFonts w:ascii="Arial" w:hAnsi="Arial" w:cs="Arial"/>
                <w:sz w:val="20"/>
                <w:szCs w:val="20"/>
              </w:rPr>
            </w:pPr>
            <w:r w:rsidRPr="009D52D0">
              <w:rPr>
                <w:rFonts w:ascii="Arial" w:hAnsi="Arial" w:cs="Arial"/>
                <w:sz w:val="20"/>
                <w:szCs w:val="20"/>
              </w:rPr>
              <w:t>Section revised</w:t>
            </w:r>
          </w:p>
        </w:tc>
        <w:tc>
          <w:tcPr>
            <w:tcW w:w="2602" w:type="dxa"/>
          </w:tcPr>
          <w:p w14:paraId="6EF0C86F" w14:textId="77777777" w:rsidR="00422B69" w:rsidRPr="009D52D0" w:rsidRDefault="00422B69" w:rsidP="00731266">
            <w:pPr>
              <w:spacing w:after="120"/>
              <w:ind w:right="171"/>
              <w:rPr>
                <w:rFonts w:ascii="Arial" w:hAnsi="Arial" w:cs="Arial"/>
                <w:sz w:val="20"/>
                <w:szCs w:val="20"/>
              </w:rPr>
            </w:pPr>
            <w:r w:rsidRPr="009D52D0">
              <w:rPr>
                <w:rFonts w:ascii="Arial" w:hAnsi="Arial" w:cs="Arial"/>
                <w:sz w:val="20"/>
                <w:szCs w:val="20"/>
              </w:rPr>
              <w:t>Impacts PLOs</w:t>
            </w:r>
            <w:r w:rsidR="00694309" w:rsidRPr="009D52D0">
              <w:rPr>
                <w:rFonts w:ascii="Arial" w:hAnsi="Arial" w:cs="Arial"/>
                <w:sz w:val="20"/>
                <w:szCs w:val="20"/>
              </w:rPr>
              <w:t xml:space="preserve"> (</w:t>
            </w:r>
            <w:r w:rsidR="001A425B" w:rsidRPr="009D52D0">
              <w:rPr>
                <w:rFonts w:ascii="Arial" w:hAnsi="Arial" w:cs="Arial"/>
                <w:sz w:val="20"/>
                <w:szCs w:val="20"/>
              </w:rPr>
              <w:t>Q6&amp;7 cover sheet)</w:t>
            </w:r>
          </w:p>
        </w:tc>
      </w:tr>
      <w:tr w:rsidR="00731266" w:rsidRPr="009D52D0" w14:paraId="7FF02375" w14:textId="77777777" w:rsidTr="00731266">
        <w:trPr>
          <w:trHeight w:val="305"/>
        </w:trPr>
        <w:tc>
          <w:tcPr>
            <w:tcW w:w="1593" w:type="dxa"/>
          </w:tcPr>
          <w:p w14:paraId="724CA749" w14:textId="3B6C616E" w:rsidR="00731266" w:rsidRPr="00731266" w:rsidRDefault="00731266" w:rsidP="00731266">
            <w:pPr>
              <w:spacing w:after="120"/>
              <w:ind w:right="543"/>
              <w:rPr>
                <w:rFonts w:ascii="Arial" w:hAnsi="Arial" w:cs="Arial"/>
                <w:sz w:val="20"/>
                <w:szCs w:val="20"/>
              </w:rPr>
            </w:pPr>
            <w:r w:rsidRPr="00731266">
              <w:rPr>
                <w:rFonts w:ascii="Arial" w:hAnsi="Arial" w:cs="Arial"/>
                <w:sz w:val="20"/>
                <w:szCs w:val="20"/>
              </w:rPr>
              <w:t>09/02/18</w:t>
            </w:r>
          </w:p>
        </w:tc>
        <w:tc>
          <w:tcPr>
            <w:tcW w:w="1815" w:type="dxa"/>
          </w:tcPr>
          <w:p w14:paraId="01BA9967" w14:textId="47E28397" w:rsidR="00731266" w:rsidRPr="00731266" w:rsidRDefault="00731266" w:rsidP="00731266">
            <w:pPr>
              <w:spacing w:after="120"/>
              <w:ind w:right="543"/>
              <w:rPr>
                <w:rFonts w:ascii="Arial" w:hAnsi="Arial" w:cs="Arial"/>
                <w:sz w:val="20"/>
                <w:szCs w:val="20"/>
              </w:rPr>
            </w:pPr>
            <w:r w:rsidRPr="00731266">
              <w:rPr>
                <w:rFonts w:ascii="Arial" w:hAnsi="Arial" w:cs="Arial"/>
                <w:sz w:val="20"/>
                <w:szCs w:val="20"/>
              </w:rPr>
              <w:t>Major</w:t>
            </w:r>
          </w:p>
        </w:tc>
        <w:tc>
          <w:tcPr>
            <w:tcW w:w="1974" w:type="dxa"/>
          </w:tcPr>
          <w:p w14:paraId="6E9BBDE3" w14:textId="57DF0E66" w:rsidR="00731266" w:rsidRPr="00731266" w:rsidRDefault="00731266" w:rsidP="00731266">
            <w:pPr>
              <w:spacing w:after="120"/>
              <w:rPr>
                <w:rFonts w:ascii="Arial" w:hAnsi="Arial" w:cs="Arial"/>
                <w:sz w:val="20"/>
                <w:szCs w:val="20"/>
              </w:rPr>
            </w:pPr>
            <w:r w:rsidRPr="00731266">
              <w:rPr>
                <w:rFonts w:ascii="Arial" w:hAnsi="Arial" w:cs="Arial"/>
                <w:sz w:val="20"/>
                <w:szCs w:val="20"/>
              </w:rPr>
              <w:t>January 2019</w:t>
            </w:r>
          </w:p>
        </w:tc>
        <w:tc>
          <w:tcPr>
            <w:tcW w:w="2359" w:type="dxa"/>
          </w:tcPr>
          <w:p w14:paraId="67D09384" w14:textId="23383107" w:rsidR="00731266" w:rsidRPr="00731266" w:rsidRDefault="00731266" w:rsidP="00731266">
            <w:pPr>
              <w:spacing w:after="120"/>
              <w:ind w:right="543"/>
              <w:rPr>
                <w:rFonts w:ascii="Arial" w:hAnsi="Arial" w:cs="Arial"/>
                <w:sz w:val="20"/>
                <w:szCs w:val="20"/>
              </w:rPr>
            </w:pPr>
            <w:r w:rsidRPr="00731266">
              <w:rPr>
                <w:rFonts w:ascii="Arial" w:hAnsi="Arial" w:cs="Arial"/>
                <w:sz w:val="20"/>
                <w:szCs w:val="20"/>
              </w:rPr>
              <w:t>9, 10</w:t>
            </w:r>
          </w:p>
        </w:tc>
        <w:tc>
          <w:tcPr>
            <w:tcW w:w="2602" w:type="dxa"/>
          </w:tcPr>
          <w:p w14:paraId="47B82F01" w14:textId="3DBDA871" w:rsidR="00731266" w:rsidRPr="00731266" w:rsidRDefault="00731266" w:rsidP="00731266">
            <w:pPr>
              <w:spacing w:after="120"/>
              <w:ind w:right="543"/>
              <w:rPr>
                <w:rFonts w:ascii="Arial" w:hAnsi="Arial" w:cs="Arial"/>
                <w:sz w:val="20"/>
                <w:szCs w:val="20"/>
              </w:rPr>
            </w:pPr>
            <w:r w:rsidRPr="00731266">
              <w:rPr>
                <w:rFonts w:ascii="Arial" w:hAnsi="Arial" w:cs="Arial"/>
                <w:sz w:val="20"/>
                <w:szCs w:val="20"/>
              </w:rPr>
              <w:t>No</w:t>
            </w:r>
          </w:p>
        </w:tc>
      </w:tr>
      <w:tr w:rsidR="00302082" w:rsidRPr="009D52D0" w14:paraId="7F1DC114" w14:textId="77777777" w:rsidTr="00731266">
        <w:trPr>
          <w:trHeight w:val="305"/>
        </w:trPr>
        <w:tc>
          <w:tcPr>
            <w:tcW w:w="1593" w:type="dxa"/>
          </w:tcPr>
          <w:p w14:paraId="3A8D4780" w14:textId="173E89E7" w:rsidR="00422B69" w:rsidRPr="009D52D0" w:rsidRDefault="00616E60" w:rsidP="009D52D0">
            <w:pPr>
              <w:spacing w:after="120"/>
              <w:ind w:right="543"/>
              <w:rPr>
                <w:rFonts w:ascii="Arial" w:hAnsi="Arial" w:cs="Arial"/>
                <w:sz w:val="20"/>
                <w:szCs w:val="20"/>
              </w:rPr>
            </w:pPr>
            <w:r>
              <w:rPr>
                <w:rFonts w:ascii="Arial" w:hAnsi="Arial" w:cs="Arial"/>
                <w:sz w:val="20"/>
                <w:szCs w:val="20"/>
              </w:rPr>
              <w:t>14/01/21</w:t>
            </w:r>
          </w:p>
        </w:tc>
        <w:tc>
          <w:tcPr>
            <w:tcW w:w="1815" w:type="dxa"/>
          </w:tcPr>
          <w:p w14:paraId="58FCC70D" w14:textId="30C9EB6F" w:rsidR="00422B69" w:rsidRPr="009D52D0" w:rsidRDefault="00616E60" w:rsidP="009D52D0">
            <w:pPr>
              <w:spacing w:after="120"/>
              <w:ind w:right="543"/>
              <w:rPr>
                <w:rFonts w:ascii="Arial" w:hAnsi="Arial" w:cs="Arial"/>
                <w:sz w:val="20"/>
                <w:szCs w:val="20"/>
              </w:rPr>
            </w:pPr>
            <w:r>
              <w:rPr>
                <w:rFonts w:ascii="Arial" w:hAnsi="Arial" w:cs="Arial"/>
                <w:sz w:val="20"/>
                <w:szCs w:val="20"/>
              </w:rPr>
              <w:t>Minor</w:t>
            </w:r>
          </w:p>
        </w:tc>
        <w:tc>
          <w:tcPr>
            <w:tcW w:w="1974" w:type="dxa"/>
          </w:tcPr>
          <w:p w14:paraId="746D177C" w14:textId="4EC6945B" w:rsidR="00422B69" w:rsidRPr="009D52D0" w:rsidRDefault="00616E60" w:rsidP="00D10242">
            <w:pPr>
              <w:spacing w:after="120"/>
              <w:rPr>
                <w:rFonts w:ascii="Arial" w:hAnsi="Arial" w:cs="Arial"/>
                <w:sz w:val="20"/>
                <w:szCs w:val="20"/>
              </w:rPr>
            </w:pPr>
            <w:r>
              <w:rPr>
                <w:rFonts w:ascii="Arial" w:hAnsi="Arial" w:cs="Arial"/>
                <w:sz w:val="20"/>
                <w:szCs w:val="20"/>
              </w:rPr>
              <w:t>January 2022</w:t>
            </w:r>
          </w:p>
        </w:tc>
        <w:tc>
          <w:tcPr>
            <w:tcW w:w="2359" w:type="dxa"/>
          </w:tcPr>
          <w:p w14:paraId="182AE11E" w14:textId="5DC82C5C" w:rsidR="00422B69" w:rsidRPr="009D52D0" w:rsidRDefault="00616E60" w:rsidP="009D52D0">
            <w:pPr>
              <w:spacing w:after="120"/>
              <w:ind w:right="543"/>
              <w:rPr>
                <w:rFonts w:ascii="Arial" w:hAnsi="Arial" w:cs="Arial"/>
                <w:sz w:val="20"/>
                <w:szCs w:val="20"/>
              </w:rPr>
            </w:pPr>
            <w:r>
              <w:rPr>
                <w:rFonts w:ascii="Arial" w:hAnsi="Arial" w:cs="Arial"/>
                <w:sz w:val="20"/>
                <w:szCs w:val="20"/>
              </w:rPr>
              <w:t>13</w:t>
            </w:r>
          </w:p>
        </w:tc>
        <w:tc>
          <w:tcPr>
            <w:tcW w:w="2602" w:type="dxa"/>
          </w:tcPr>
          <w:p w14:paraId="400AF31F" w14:textId="2ACFAEA5" w:rsidR="00422B69" w:rsidRPr="009D52D0" w:rsidRDefault="00616E60" w:rsidP="009D52D0">
            <w:pPr>
              <w:spacing w:after="120"/>
              <w:ind w:right="543"/>
              <w:rPr>
                <w:rFonts w:ascii="Arial" w:hAnsi="Arial" w:cs="Arial"/>
                <w:sz w:val="20"/>
                <w:szCs w:val="20"/>
              </w:rPr>
            </w:pPr>
            <w:r>
              <w:rPr>
                <w:rFonts w:ascii="Arial" w:hAnsi="Arial" w:cs="Arial"/>
                <w:sz w:val="20"/>
                <w:szCs w:val="20"/>
              </w:rPr>
              <w:t>No</w:t>
            </w:r>
          </w:p>
        </w:tc>
      </w:tr>
    </w:tbl>
    <w:p w14:paraId="33850DC8" w14:textId="77777777" w:rsidR="00D83563" w:rsidRPr="009D52D0" w:rsidRDefault="00D83563" w:rsidP="009D52D0">
      <w:pPr>
        <w:spacing w:after="120" w:line="240" w:lineRule="auto"/>
        <w:ind w:right="543"/>
        <w:rPr>
          <w:rFonts w:ascii="Arial" w:hAnsi="Arial" w:cs="Arial"/>
          <w:sz w:val="24"/>
          <w:szCs w:val="24"/>
        </w:rPr>
      </w:pPr>
    </w:p>
    <w:sectPr w:rsidR="00D83563" w:rsidRPr="009D52D0" w:rsidSect="00F33E2C">
      <w:headerReference w:type="default" r:id="rId11"/>
      <w:footerReference w:type="default" r:id="rId12"/>
      <w:headerReference w:type="first" r:id="rId13"/>
      <w:footerReference w:type="first" r:id="rId1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459FF" w14:textId="77777777" w:rsidR="00197774" w:rsidRDefault="00197774" w:rsidP="009A2D37">
      <w:pPr>
        <w:spacing w:after="0" w:line="240" w:lineRule="auto"/>
      </w:pPr>
      <w:r>
        <w:separator/>
      </w:r>
    </w:p>
  </w:endnote>
  <w:endnote w:type="continuationSeparator" w:id="0">
    <w:p w14:paraId="1978B85F" w14:textId="77777777" w:rsidR="00197774" w:rsidRDefault="00197774" w:rsidP="009A2D37">
      <w:pPr>
        <w:spacing w:after="0" w:line="240" w:lineRule="auto"/>
      </w:pPr>
      <w:r>
        <w:continuationSeparator/>
      </w:r>
    </w:p>
  </w:endnote>
  <w:endnote w:type="continuationNotice" w:id="1">
    <w:p w14:paraId="5E1863EC" w14:textId="77777777" w:rsidR="00197774" w:rsidRDefault="00197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i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59864"/>
      <w:docPartObj>
        <w:docPartGallery w:val="Page Numbers (Bottom of Page)"/>
        <w:docPartUnique/>
      </w:docPartObj>
    </w:sdtPr>
    <w:sdtEndPr/>
    <w:sdtContent>
      <w:p w14:paraId="5ED66BBA" w14:textId="56CAFC00" w:rsidR="008B2543" w:rsidRDefault="00322D85" w:rsidP="009A2D37">
        <w:pPr>
          <w:pStyle w:val="Footer"/>
          <w:jc w:val="center"/>
        </w:pPr>
        <w:r>
          <w:rPr>
            <w:noProof/>
          </w:rPr>
          <w:t>7</w:t>
        </w:r>
      </w:p>
    </w:sdtContent>
  </w:sdt>
  <w:p w14:paraId="62EFA718" w14:textId="2C33C400" w:rsidR="008B2543" w:rsidRPr="00322D85" w:rsidRDefault="00322D85" w:rsidP="00322D85">
    <w:pPr>
      <w:pStyle w:val="Footer"/>
      <w:spacing w:after="120"/>
      <w:ind w:right="-330"/>
      <w:jc w:val="center"/>
      <w:rPr>
        <w:rFonts w:ascii="Arial" w:hAnsi="Arial"/>
        <w:sz w:val="18"/>
        <w:szCs w:val="18"/>
      </w:rPr>
    </w:pPr>
    <w:r w:rsidRPr="00322D85">
      <w:rPr>
        <w:rFonts w:ascii="Arial" w:hAnsi="Arial" w:cs="Arial"/>
        <w:sz w:val="18"/>
        <w:szCs w:val="18"/>
      </w:rPr>
      <w:t>Language, Self and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311339"/>
      <w:docPartObj>
        <w:docPartGallery w:val="Page Numbers (Bottom of Page)"/>
        <w:docPartUnique/>
      </w:docPartObj>
    </w:sdtPr>
    <w:sdtEndPr/>
    <w:sdtContent>
      <w:p w14:paraId="17C263E0" w14:textId="39FE9F7F" w:rsidR="00EB41D1" w:rsidRDefault="00322D85" w:rsidP="00EB41D1">
        <w:pPr>
          <w:pStyle w:val="Footer"/>
          <w:jc w:val="center"/>
        </w:pPr>
        <w:r>
          <w:rPr>
            <w:noProof/>
          </w:rPr>
          <w:t>1</w:t>
        </w:r>
      </w:p>
    </w:sdtContent>
  </w:sdt>
  <w:p w14:paraId="177E58ED" w14:textId="77777777" w:rsidR="00EB41D1" w:rsidRPr="007B7724" w:rsidRDefault="00EB41D1" w:rsidP="00EB41D1">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w:t>
    </w:r>
    <w:r w:rsidR="009D52D0">
      <w:rPr>
        <w:rFonts w:ascii="Arial" w:hAnsi="Arial"/>
        <w:sz w:val="18"/>
      </w:rPr>
      <w:t>last revised September 2020</w:t>
    </w:r>
    <w:r>
      <w:rPr>
        <w:rFonts w:ascii="Arial" w:hAnsi="Arial"/>
        <w:sz w:val="18"/>
      </w:rPr>
      <w:t>)</w:t>
    </w:r>
  </w:p>
  <w:p w14:paraId="652639B0"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02D65" w14:textId="77777777" w:rsidR="00197774" w:rsidRDefault="00197774" w:rsidP="009A2D37">
      <w:pPr>
        <w:spacing w:after="0" w:line="240" w:lineRule="auto"/>
      </w:pPr>
      <w:r>
        <w:separator/>
      </w:r>
    </w:p>
  </w:footnote>
  <w:footnote w:type="continuationSeparator" w:id="0">
    <w:p w14:paraId="28FF5590" w14:textId="77777777" w:rsidR="00197774" w:rsidRDefault="00197774" w:rsidP="009A2D37">
      <w:pPr>
        <w:spacing w:after="0" w:line="240" w:lineRule="auto"/>
      </w:pPr>
      <w:r>
        <w:continuationSeparator/>
      </w:r>
    </w:p>
  </w:footnote>
  <w:footnote w:type="continuationNotice" w:id="1">
    <w:p w14:paraId="2B69334A" w14:textId="77777777" w:rsidR="00197774" w:rsidRDefault="00197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C3B9A"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7C7E4CD7" wp14:editId="1456DD9A">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17B73C58" w14:textId="77777777" w:rsidR="008B2543" w:rsidRPr="008C00F8" w:rsidRDefault="008B2543" w:rsidP="005E6D38">
    <w:pPr>
      <w:pStyle w:val="Heading1"/>
      <w:spacing w:before="60" w:after="60"/>
      <w:rPr>
        <w:rFonts w:ascii="Arial" w:hAnsi="Arial" w:cs="Arial"/>
      </w:rPr>
    </w:pPr>
  </w:p>
  <w:p w14:paraId="6B92B4B0"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CEE3"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63801C68" wp14:editId="44CEBC37">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04E5A566"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55E51"/>
    <w:multiLevelType w:val="hybridMultilevel"/>
    <w:tmpl w:val="5A42E7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6A83EEA"/>
    <w:multiLevelType w:val="hybridMultilevel"/>
    <w:tmpl w:val="E1DE9B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9"/>
  </w:num>
  <w:num w:numId="6">
    <w:abstractNumId w:val="7"/>
  </w:num>
  <w:num w:numId="7">
    <w:abstractNumId w:val="10"/>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1CD"/>
    <w:rsid w:val="000017F2"/>
    <w:rsid w:val="00005661"/>
    <w:rsid w:val="00010A16"/>
    <w:rsid w:val="0001243F"/>
    <w:rsid w:val="00021EA0"/>
    <w:rsid w:val="00025992"/>
    <w:rsid w:val="00027937"/>
    <w:rsid w:val="00030C9E"/>
    <w:rsid w:val="00031E67"/>
    <w:rsid w:val="000408CC"/>
    <w:rsid w:val="00045373"/>
    <w:rsid w:val="00063A2F"/>
    <w:rsid w:val="000678D3"/>
    <w:rsid w:val="00073DA1"/>
    <w:rsid w:val="00094810"/>
    <w:rsid w:val="00096DA4"/>
    <w:rsid w:val="000C0294"/>
    <w:rsid w:val="000C3A7E"/>
    <w:rsid w:val="000C7A1C"/>
    <w:rsid w:val="000D106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717B"/>
    <w:rsid w:val="00157ACA"/>
    <w:rsid w:val="00160427"/>
    <w:rsid w:val="00162D46"/>
    <w:rsid w:val="00172793"/>
    <w:rsid w:val="00180558"/>
    <w:rsid w:val="001811E5"/>
    <w:rsid w:val="00183B34"/>
    <w:rsid w:val="00185F46"/>
    <w:rsid w:val="00196C6A"/>
    <w:rsid w:val="00197774"/>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F0779"/>
    <w:rsid w:val="001F3C3E"/>
    <w:rsid w:val="00201C5F"/>
    <w:rsid w:val="0020243A"/>
    <w:rsid w:val="00204081"/>
    <w:rsid w:val="0021578E"/>
    <w:rsid w:val="00227582"/>
    <w:rsid w:val="002302FD"/>
    <w:rsid w:val="002308BE"/>
    <w:rsid w:val="002407C0"/>
    <w:rsid w:val="002461AF"/>
    <w:rsid w:val="002465A1"/>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B20F5"/>
    <w:rsid w:val="002B2A1A"/>
    <w:rsid w:val="002B71F2"/>
    <w:rsid w:val="002E71C0"/>
    <w:rsid w:val="002F05F4"/>
    <w:rsid w:val="002F0CE4"/>
    <w:rsid w:val="002F23EF"/>
    <w:rsid w:val="002F2626"/>
    <w:rsid w:val="00302082"/>
    <w:rsid w:val="00306620"/>
    <w:rsid w:val="00322D85"/>
    <w:rsid w:val="003262B9"/>
    <w:rsid w:val="00334A02"/>
    <w:rsid w:val="00335875"/>
    <w:rsid w:val="00335FBE"/>
    <w:rsid w:val="00351D4F"/>
    <w:rsid w:val="00352D8E"/>
    <w:rsid w:val="00356B68"/>
    <w:rsid w:val="0035702D"/>
    <w:rsid w:val="003604D4"/>
    <w:rsid w:val="003627B0"/>
    <w:rsid w:val="00363733"/>
    <w:rsid w:val="00374DF6"/>
    <w:rsid w:val="003759B0"/>
    <w:rsid w:val="00375F84"/>
    <w:rsid w:val="00376E34"/>
    <w:rsid w:val="003804E7"/>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402ED7"/>
    <w:rsid w:val="004114F8"/>
    <w:rsid w:val="00422B69"/>
    <w:rsid w:val="00423D86"/>
    <w:rsid w:val="00424C90"/>
    <w:rsid w:val="00436BE9"/>
    <w:rsid w:val="00441E76"/>
    <w:rsid w:val="004443DA"/>
    <w:rsid w:val="00446A75"/>
    <w:rsid w:val="004474A2"/>
    <w:rsid w:val="00460925"/>
    <w:rsid w:val="00471C6C"/>
    <w:rsid w:val="00472023"/>
    <w:rsid w:val="00486993"/>
    <w:rsid w:val="00492DA4"/>
    <w:rsid w:val="00496AA3"/>
    <w:rsid w:val="00497C98"/>
    <w:rsid w:val="004A39D7"/>
    <w:rsid w:val="004A55FA"/>
    <w:rsid w:val="004B5D03"/>
    <w:rsid w:val="004C1EC4"/>
    <w:rsid w:val="004D035C"/>
    <w:rsid w:val="004F3C18"/>
    <w:rsid w:val="004F4328"/>
    <w:rsid w:val="005005E4"/>
    <w:rsid w:val="0051359E"/>
    <w:rsid w:val="00513689"/>
    <w:rsid w:val="0051375A"/>
    <w:rsid w:val="00521097"/>
    <w:rsid w:val="0053059E"/>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77B"/>
    <w:rsid w:val="00596884"/>
    <w:rsid w:val="005A14B5"/>
    <w:rsid w:val="005B2F01"/>
    <w:rsid w:val="005B5A98"/>
    <w:rsid w:val="005C1A4F"/>
    <w:rsid w:val="005C27D7"/>
    <w:rsid w:val="005C53CD"/>
    <w:rsid w:val="005D7CD0"/>
    <w:rsid w:val="005E1A3A"/>
    <w:rsid w:val="005E6ADC"/>
    <w:rsid w:val="005E6D10"/>
    <w:rsid w:val="005E6D38"/>
    <w:rsid w:val="005E7B3F"/>
    <w:rsid w:val="005F040F"/>
    <w:rsid w:val="005F2C42"/>
    <w:rsid w:val="006043FC"/>
    <w:rsid w:val="006050CF"/>
    <w:rsid w:val="00616E60"/>
    <w:rsid w:val="0062219E"/>
    <w:rsid w:val="006253AA"/>
    <w:rsid w:val="00626023"/>
    <w:rsid w:val="00633150"/>
    <w:rsid w:val="00637A50"/>
    <w:rsid w:val="00640748"/>
    <w:rsid w:val="00641D6D"/>
    <w:rsid w:val="0064364E"/>
    <w:rsid w:val="006438F3"/>
    <w:rsid w:val="00647907"/>
    <w:rsid w:val="00651A82"/>
    <w:rsid w:val="006525E9"/>
    <w:rsid w:val="0066747B"/>
    <w:rsid w:val="006725EC"/>
    <w:rsid w:val="00674ED0"/>
    <w:rsid w:val="00682650"/>
    <w:rsid w:val="00683609"/>
    <w:rsid w:val="00684851"/>
    <w:rsid w:val="00694309"/>
    <w:rsid w:val="00694B52"/>
    <w:rsid w:val="00695285"/>
    <w:rsid w:val="00696FF5"/>
    <w:rsid w:val="006A6BB4"/>
    <w:rsid w:val="006A7FB0"/>
    <w:rsid w:val="006C195B"/>
    <w:rsid w:val="006C2A9A"/>
    <w:rsid w:val="006C423D"/>
    <w:rsid w:val="006C46EF"/>
    <w:rsid w:val="006C4C67"/>
    <w:rsid w:val="006D13C0"/>
    <w:rsid w:val="006D41AB"/>
    <w:rsid w:val="006D444F"/>
    <w:rsid w:val="006E4FEA"/>
    <w:rsid w:val="006F1A15"/>
    <w:rsid w:val="006F3F8B"/>
    <w:rsid w:val="00700488"/>
    <w:rsid w:val="00703404"/>
    <w:rsid w:val="00703F92"/>
    <w:rsid w:val="00704637"/>
    <w:rsid w:val="007105E4"/>
    <w:rsid w:val="00710647"/>
    <w:rsid w:val="00714EE5"/>
    <w:rsid w:val="00720270"/>
    <w:rsid w:val="00724362"/>
    <w:rsid w:val="00727780"/>
    <w:rsid w:val="00731266"/>
    <w:rsid w:val="0073792C"/>
    <w:rsid w:val="00752E7C"/>
    <w:rsid w:val="00754069"/>
    <w:rsid w:val="00765ED0"/>
    <w:rsid w:val="007667DF"/>
    <w:rsid w:val="0077080B"/>
    <w:rsid w:val="00787070"/>
    <w:rsid w:val="007906FD"/>
    <w:rsid w:val="00797197"/>
    <w:rsid w:val="007972A7"/>
    <w:rsid w:val="007A2BA2"/>
    <w:rsid w:val="007A49C1"/>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4535"/>
    <w:rsid w:val="00856EB3"/>
    <w:rsid w:val="00863C96"/>
    <w:rsid w:val="00864A72"/>
    <w:rsid w:val="00873E9F"/>
    <w:rsid w:val="00874047"/>
    <w:rsid w:val="008778CB"/>
    <w:rsid w:val="00881545"/>
    <w:rsid w:val="00883204"/>
    <w:rsid w:val="00883A3E"/>
    <w:rsid w:val="0089148D"/>
    <w:rsid w:val="00891E0D"/>
    <w:rsid w:val="008A0F36"/>
    <w:rsid w:val="008B2543"/>
    <w:rsid w:val="008B4B6E"/>
    <w:rsid w:val="008D4447"/>
    <w:rsid w:val="008D7401"/>
    <w:rsid w:val="008F3BB3"/>
    <w:rsid w:val="00903DF6"/>
    <w:rsid w:val="00904EB2"/>
    <w:rsid w:val="00910059"/>
    <w:rsid w:val="00921CF6"/>
    <w:rsid w:val="00922E9E"/>
    <w:rsid w:val="00924EF0"/>
    <w:rsid w:val="00934D7B"/>
    <w:rsid w:val="00947180"/>
    <w:rsid w:val="009567BE"/>
    <w:rsid w:val="00956E9B"/>
    <w:rsid w:val="009676FA"/>
    <w:rsid w:val="009679E0"/>
    <w:rsid w:val="00977632"/>
    <w:rsid w:val="00982A8E"/>
    <w:rsid w:val="00987DB4"/>
    <w:rsid w:val="0099029D"/>
    <w:rsid w:val="00996204"/>
    <w:rsid w:val="009A26CB"/>
    <w:rsid w:val="009A2BC2"/>
    <w:rsid w:val="009A2D37"/>
    <w:rsid w:val="009A7587"/>
    <w:rsid w:val="009B0A69"/>
    <w:rsid w:val="009B4F5B"/>
    <w:rsid w:val="009C2474"/>
    <w:rsid w:val="009C7082"/>
    <w:rsid w:val="009D0006"/>
    <w:rsid w:val="009D068C"/>
    <w:rsid w:val="009D52D0"/>
    <w:rsid w:val="009F058B"/>
    <w:rsid w:val="009F3A2A"/>
    <w:rsid w:val="009F731F"/>
    <w:rsid w:val="009F7D33"/>
    <w:rsid w:val="00A021FE"/>
    <w:rsid w:val="00A05CF7"/>
    <w:rsid w:val="00A1270E"/>
    <w:rsid w:val="00A13526"/>
    <w:rsid w:val="00A15342"/>
    <w:rsid w:val="00A2277B"/>
    <w:rsid w:val="00A3007E"/>
    <w:rsid w:val="00A32048"/>
    <w:rsid w:val="00A41F06"/>
    <w:rsid w:val="00A50FD4"/>
    <w:rsid w:val="00A52DB4"/>
    <w:rsid w:val="00A60A1D"/>
    <w:rsid w:val="00A618E1"/>
    <w:rsid w:val="00A629B9"/>
    <w:rsid w:val="00A70C20"/>
    <w:rsid w:val="00A74292"/>
    <w:rsid w:val="00A776DE"/>
    <w:rsid w:val="00A80640"/>
    <w:rsid w:val="00A87FFD"/>
    <w:rsid w:val="00A97038"/>
    <w:rsid w:val="00A97CB8"/>
    <w:rsid w:val="00AA3C15"/>
    <w:rsid w:val="00AA6330"/>
    <w:rsid w:val="00AC7501"/>
    <w:rsid w:val="00AD748B"/>
    <w:rsid w:val="00AE4865"/>
    <w:rsid w:val="00AF50EE"/>
    <w:rsid w:val="00B0591D"/>
    <w:rsid w:val="00B13402"/>
    <w:rsid w:val="00B14BC2"/>
    <w:rsid w:val="00B17024"/>
    <w:rsid w:val="00B17CD2"/>
    <w:rsid w:val="00B213D2"/>
    <w:rsid w:val="00B248BA"/>
    <w:rsid w:val="00B24B56"/>
    <w:rsid w:val="00B30E07"/>
    <w:rsid w:val="00B34ADD"/>
    <w:rsid w:val="00B52FF5"/>
    <w:rsid w:val="00B5498B"/>
    <w:rsid w:val="00B57219"/>
    <w:rsid w:val="00B658A3"/>
    <w:rsid w:val="00B65AAD"/>
    <w:rsid w:val="00B72470"/>
    <w:rsid w:val="00B746A8"/>
    <w:rsid w:val="00B7664D"/>
    <w:rsid w:val="00B80989"/>
    <w:rsid w:val="00B904EB"/>
    <w:rsid w:val="00B9109B"/>
    <w:rsid w:val="00B927AE"/>
    <w:rsid w:val="00B93721"/>
    <w:rsid w:val="00B937B1"/>
    <w:rsid w:val="00B966B4"/>
    <w:rsid w:val="00BA453C"/>
    <w:rsid w:val="00BA4E02"/>
    <w:rsid w:val="00BB2045"/>
    <w:rsid w:val="00BB2A6D"/>
    <w:rsid w:val="00BB4189"/>
    <w:rsid w:val="00BC19F7"/>
    <w:rsid w:val="00BC41ED"/>
    <w:rsid w:val="00BD009E"/>
    <w:rsid w:val="00BD0EF8"/>
    <w:rsid w:val="00BD7A8C"/>
    <w:rsid w:val="00BE2126"/>
    <w:rsid w:val="00BE3B17"/>
    <w:rsid w:val="00BF51AB"/>
    <w:rsid w:val="00BF716B"/>
    <w:rsid w:val="00BF7233"/>
    <w:rsid w:val="00C02AA2"/>
    <w:rsid w:val="00C04C95"/>
    <w:rsid w:val="00C12613"/>
    <w:rsid w:val="00C16DEF"/>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866AE"/>
    <w:rsid w:val="00CA3254"/>
    <w:rsid w:val="00CB11CE"/>
    <w:rsid w:val="00CC25A2"/>
    <w:rsid w:val="00CC3B7F"/>
    <w:rsid w:val="00CD7F07"/>
    <w:rsid w:val="00CE04F3"/>
    <w:rsid w:val="00CE12D8"/>
    <w:rsid w:val="00CE4574"/>
    <w:rsid w:val="00CE70E6"/>
    <w:rsid w:val="00CF0BCA"/>
    <w:rsid w:val="00CF2E1E"/>
    <w:rsid w:val="00D02E99"/>
    <w:rsid w:val="00D10242"/>
    <w:rsid w:val="00D13357"/>
    <w:rsid w:val="00D13A13"/>
    <w:rsid w:val="00D2689A"/>
    <w:rsid w:val="00D65506"/>
    <w:rsid w:val="00D773CF"/>
    <w:rsid w:val="00D83563"/>
    <w:rsid w:val="00D8448F"/>
    <w:rsid w:val="00DA3C26"/>
    <w:rsid w:val="00DA64B6"/>
    <w:rsid w:val="00DB5C9D"/>
    <w:rsid w:val="00DD02E6"/>
    <w:rsid w:val="00DD0739"/>
    <w:rsid w:val="00DD2E74"/>
    <w:rsid w:val="00DF665B"/>
    <w:rsid w:val="00E0152A"/>
    <w:rsid w:val="00E03394"/>
    <w:rsid w:val="00E066E5"/>
    <w:rsid w:val="00E21923"/>
    <w:rsid w:val="00E22F03"/>
    <w:rsid w:val="00E233C1"/>
    <w:rsid w:val="00E51404"/>
    <w:rsid w:val="00E574C9"/>
    <w:rsid w:val="00E610DE"/>
    <w:rsid w:val="00E66167"/>
    <w:rsid w:val="00E71F2F"/>
    <w:rsid w:val="00E77786"/>
    <w:rsid w:val="00E806FB"/>
    <w:rsid w:val="00EB1C2D"/>
    <w:rsid w:val="00EB41D1"/>
    <w:rsid w:val="00EC1810"/>
    <w:rsid w:val="00EC3FCC"/>
    <w:rsid w:val="00ED32FF"/>
    <w:rsid w:val="00EF039B"/>
    <w:rsid w:val="00EF4933"/>
    <w:rsid w:val="00EF5044"/>
    <w:rsid w:val="00EF5DCE"/>
    <w:rsid w:val="00F01956"/>
    <w:rsid w:val="00F116CE"/>
    <w:rsid w:val="00F16F93"/>
    <w:rsid w:val="00F176DE"/>
    <w:rsid w:val="00F17B94"/>
    <w:rsid w:val="00F21C47"/>
    <w:rsid w:val="00F244E2"/>
    <w:rsid w:val="00F317D7"/>
    <w:rsid w:val="00F33E2C"/>
    <w:rsid w:val="00F340DE"/>
    <w:rsid w:val="00F43542"/>
    <w:rsid w:val="00F44BAB"/>
    <w:rsid w:val="00F454E2"/>
    <w:rsid w:val="00F527CB"/>
    <w:rsid w:val="00F562AA"/>
    <w:rsid w:val="00F66975"/>
    <w:rsid w:val="00F7105A"/>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80E26"/>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7F"/>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table" w:customStyle="1" w:styleId="TableGrid2">
    <w:name w:val="Table Grid2"/>
    <w:basedOn w:val="TableNormal"/>
    <w:next w:val="TableGrid"/>
    <w:uiPriority w:val="59"/>
    <w:rsid w:val="0036373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8F56F104FAFE46B24D81B5A3B5C529" ma:contentTypeVersion="0" ma:contentTypeDescription="Create a new document." ma:contentTypeScope="" ma:versionID="b01bb8f024323303441f1d5d2cf931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4D09-43C4-46C7-82B0-FC92F8E9B2EB}">
  <ds:schemaRefs>
    <ds:schemaRef ds:uri="http://schemas.microsoft.com/sharepoint/v3/contenttype/forms"/>
  </ds:schemaRefs>
</ds:datastoreItem>
</file>

<file path=customXml/itemProps2.xml><?xml version="1.0" encoding="utf-8"?>
<ds:datastoreItem xmlns:ds="http://schemas.openxmlformats.org/officeDocument/2006/customXml" ds:itemID="{06F49A2C-F762-41DB-B3D5-61FD8465A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61FC0F-6918-49B2-ADC8-14CECDA55D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9C96BD-4AE2-42A1-BC15-D99F691B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rpeck2</cp:lastModifiedBy>
  <cp:revision>2</cp:revision>
  <cp:lastPrinted>2019-02-26T09:40:00Z</cp:lastPrinted>
  <dcterms:created xsi:type="dcterms:W3CDTF">2021-03-30T23:47:00Z</dcterms:created>
  <dcterms:modified xsi:type="dcterms:W3CDTF">2021-03-30T23:47:00Z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0x0101007F8F56F104FAFE46B24D81B5A3B5C529</vt:lpwstr>
  </property>
</Properties>
</file>