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GEO 5311 Environment and Security 3 SCH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course investigates how a host of unresolved environmental problems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are linked to the prevailing global economic and political system, and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examines how various actors, from small–scale producers to states and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international organizations, are responding to them. After introducing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365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students to the concept of environmental security, this course explores the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ways in which environmental degradation and competition fir resources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can lead to different forms of conflict, including local intergroup conflict,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civil wars, and interstate violence. The course also critically assesses the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environmental security approach. The concept of security is applied to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various contemporary environmental concerns, including food production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and distribution, access to water, energy procurement, control and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ownership of resources, so called “natural” disasters, epidemics, pandemics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and environmental refugees.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