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B2B0" w14:textId="77777777" w:rsidR="007F449D" w:rsidRPr="00E901A7" w:rsidRDefault="0089561F" w:rsidP="00C71B28">
      <w:pPr>
        <w:jc w:val="center"/>
        <w:rPr>
          <w:b/>
          <w:bCs/>
          <w:sz w:val="10"/>
          <w:szCs w:val="22"/>
        </w:rPr>
      </w:pPr>
      <w:r w:rsidRPr="00F630ED">
        <w:rPr>
          <w:noProof/>
        </w:rPr>
        <w:pict w14:anchorId="3F3749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06.25pt;height:69pt;visibility:visible">
            <v:imagedata r:id="rId4" o:title=""/>
          </v:shape>
        </w:pict>
      </w:r>
    </w:p>
    <w:p w14:paraId="06B0DB63" w14:textId="77777777" w:rsidR="007F449D" w:rsidRPr="00C71B28" w:rsidRDefault="007F449D" w:rsidP="007F449D">
      <w:pPr>
        <w:jc w:val="center"/>
        <w:rPr>
          <w:rFonts w:ascii="Times New Roman" w:hAnsi="Times New Roman"/>
          <w:b/>
          <w:sz w:val="26"/>
          <w:szCs w:val="26"/>
        </w:rPr>
      </w:pPr>
      <w:r w:rsidRPr="00C71B28">
        <w:rPr>
          <w:rFonts w:ascii="Times New Roman" w:hAnsi="Times New Roman"/>
          <w:b/>
          <w:bCs/>
          <w:sz w:val="26"/>
          <w:szCs w:val="26"/>
        </w:rPr>
        <w:t xml:space="preserve">Literature 501: </w:t>
      </w:r>
      <w:r w:rsidRPr="00C71B28">
        <w:rPr>
          <w:rFonts w:ascii="Times New Roman" w:hAnsi="Times New Roman"/>
          <w:b/>
          <w:sz w:val="26"/>
          <w:szCs w:val="26"/>
        </w:rPr>
        <w:t>The Christian Imagination in Prominent Continental and Irish Writers</w:t>
      </w:r>
    </w:p>
    <w:p w14:paraId="49DD2973" w14:textId="77777777" w:rsidR="00015900" w:rsidRPr="00015900" w:rsidRDefault="00015900" w:rsidP="007F449D">
      <w:pPr>
        <w:jc w:val="center"/>
        <w:rPr>
          <w:rFonts w:ascii="Times New Roman" w:hAnsi="Times New Roman"/>
          <w:b/>
          <w:bCs/>
          <w:sz w:val="16"/>
          <w:szCs w:val="28"/>
        </w:rPr>
      </w:pPr>
    </w:p>
    <w:p w14:paraId="448BFB5E" w14:textId="77777777" w:rsidR="007F449D" w:rsidRPr="00015900" w:rsidRDefault="00015900" w:rsidP="007F449D">
      <w:pPr>
        <w:jc w:val="center"/>
        <w:rPr>
          <w:bCs/>
          <w:i/>
          <w:szCs w:val="22"/>
        </w:rPr>
      </w:pPr>
      <w:r w:rsidRPr="00015900">
        <w:rPr>
          <w:bCs/>
          <w:i/>
          <w:szCs w:val="22"/>
        </w:rPr>
        <w:t>Professor Sharon Hickson</w:t>
      </w:r>
    </w:p>
    <w:p w14:paraId="49370FC7" w14:textId="77777777" w:rsidR="007F449D" w:rsidRPr="00015900" w:rsidRDefault="007F449D" w:rsidP="007F449D">
      <w:pPr>
        <w:jc w:val="center"/>
        <w:rPr>
          <w:bCs/>
          <w:i/>
          <w:sz w:val="16"/>
          <w:szCs w:val="22"/>
        </w:rPr>
      </w:pPr>
    </w:p>
    <w:p w14:paraId="60651BD5" w14:textId="77777777" w:rsidR="007F449D" w:rsidRPr="00BB76A5" w:rsidRDefault="007F449D" w:rsidP="007F449D">
      <w:pPr>
        <w:jc w:val="center"/>
        <w:rPr>
          <w:b/>
          <w:bCs/>
          <w:szCs w:val="22"/>
        </w:rPr>
      </w:pPr>
      <w:r w:rsidRPr="00BB76A5">
        <w:rPr>
          <w:b/>
          <w:bCs/>
          <w:szCs w:val="22"/>
        </w:rPr>
        <w:t>St. Columcille Institute 20</w:t>
      </w:r>
      <w:r w:rsidR="00E673C8">
        <w:rPr>
          <w:b/>
          <w:bCs/>
          <w:szCs w:val="22"/>
        </w:rPr>
        <w:t>2</w:t>
      </w:r>
      <w:r w:rsidR="00787A3F">
        <w:rPr>
          <w:b/>
          <w:bCs/>
          <w:szCs w:val="22"/>
        </w:rPr>
        <w:t>2</w:t>
      </w:r>
      <w:r w:rsidRPr="00BB76A5">
        <w:rPr>
          <w:b/>
          <w:bCs/>
          <w:szCs w:val="22"/>
        </w:rPr>
        <w:t xml:space="preserve"> Syllabus</w:t>
      </w:r>
    </w:p>
    <w:p w14:paraId="21E9B2B7" w14:textId="77777777" w:rsidR="001954F4" w:rsidRPr="00732D74" w:rsidRDefault="001954F4">
      <w:pPr>
        <w:rPr>
          <w:rFonts w:ascii="Times New Roman" w:hAnsi="Times New Roman"/>
          <w:b/>
          <w:sz w:val="14"/>
        </w:rPr>
      </w:pPr>
    </w:p>
    <w:p w14:paraId="1D79E562" w14:textId="77777777" w:rsidR="001954F4" w:rsidRPr="007C5783" w:rsidRDefault="009D61CF" w:rsidP="009D61CF">
      <w:pPr>
        <w:tabs>
          <w:tab w:val="left" w:pos="1170"/>
        </w:tabs>
        <w:ind w:left="1170" w:hanging="1170"/>
        <w:rPr>
          <w:rFonts w:ascii="Times New Roman" w:hAnsi="Times New Roman"/>
        </w:rPr>
      </w:pPr>
      <w:r w:rsidRPr="007C5783">
        <w:rPr>
          <w:rFonts w:ascii="Times New Roman" w:hAnsi="Times New Roman"/>
          <w:b/>
        </w:rPr>
        <w:t>Objective</w:t>
      </w:r>
      <w:r w:rsidR="001954F4" w:rsidRPr="007C5783">
        <w:rPr>
          <w:rFonts w:ascii="Times New Roman" w:hAnsi="Times New Roman"/>
        </w:rPr>
        <w:t>:</w:t>
      </w:r>
      <w:r w:rsidRPr="007C5783">
        <w:rPr>
          <w:rFonts w:ascii="Times New Roman" w:hAnsi="Times New Roman"/>
        </w:rPr>
        <w:tab/>
      </w:r>
      <w:r w:rsidR="001954F4" w:rsidRPr="007C5783">
        <w:rPr>
          <w:rFonts w:ascii="Times New Roman" w:hAnsi="Times New Roman"/>
        </w:rPr>
        <w:t>To recognize the role that great literature plays in the New Evangelization.</w:t>
      </w:r>
      <w:r w:rsidR="004B24C5" w:rsidRPr="007C5783">
        <w:rPr>
          <w:rFonts w:ascii="Times New Roman" w:hAnsi="Times New Roman"/>
        </w:rPr>
        <w:t xml:space="preserve"> </w:t>
      </w:r>
      <w:r w:rsidR="001954F4" w:rsidRPr="007C5783">
        <w:rPr>
          <w:rFonts w:ascii="Times New Roman" w:hAnsi="Times New Roman"/>
        </w:rPr>
        <w:t xml:space="preserve">By seeking </w:t>
      </w:r>
      <w:proofErr w:type="gramStart"/>
      <w:r w:rsidR="001954F4" w:rsidRPr="007C5783">
        <w:rPr>
          <w:rFonts w:ascii="Times New Roman" w:hAnsi="Times New Roman"/>
        </w:rPr>
        <w:t>always</w:t>
      </w:r>
      <w:proofErr w:type="gramEnd"/>
      <w:r w:rsidR="001954F4" w:rsidRPr="007C5783">
        <w:rPr>
          <w:rFonts w:ascii="Times New Roman" w:hAnsi="Times New Roman"/>
        </w:rPr>
        <w:t xml:space="preserve"> the Truth as it is grounded in Reality, the best literary works present the Light of Christ and the Ho</w:t>
      </w:r>
      <w:r w:rsidR="00D8706B" w:rsidRPr="007C5783">
        <w:rPr>
          <w:rFonts w:ascii="Times New Roman" w:hAnsi="Times New Roman"/>
        </w:rPr>
        <w:t xml:space="preserve">pe of Salvation to a benighted </w:t>
      </w:r>
      <w:r w:rsidR="001954F4" w:rsidRPr="007C5783">
        <w:rPr>
          <w:rFonts w:ascii="Times New Roman" w:hAnsi="Times New Roman"/>
        </w:rPr>
        <w:t>world.</w:t>
      </w:r>
      <w:r w:rsidR="004B24C5" w:rsidRPr="007C5783">
        <w:rPr>
          <w:rFonts w:ascii="Times New Roman" w:hAnsi="Times New Roman"/>
        </w:rPr>
        <w:t xml:space="preserve"> </w:t>
      </w:r>
      <w:r w:rsidR="001954F4" w:rsidRPr="007C5783">
        <w:rPr>
          <w:rFonts w:ascii="Times New Roman" w:hAnsi="Times New Roman"/>
        </w:rPr>
        <w:t xml:space="preserve">This brief survey will focus on the </w:t>
      </w:r>
      <w:r w:rsidR="00D8706B" w:rsidRPr="007C5783">
        <w:rPr>
          <w:rFonts w:ascii="Times New Roman" w:hAnsi="Times New Roman"/>
        </w:rPr>
        <w:t xml:space="preserve">Christian perspective of man’s </w:t>
      </w:r>
      <w:r w:rsidR="001954F4" w:rsidRPr="007C5783">
        <w:rPr>
          <w:rFonts w:ascii="Times New Roman" w:hAnsi="Times New Roman"/>
        </w:rPr>
        <w:t xml:space="preserve">struggle throughout history to exercise his free will as </w:t>
      </w:r>
      <w:r w:rsidR="00D8706B" w:rsidRPr="007C5783">
        <w:rPr>
          <w:rFonts w:ascii="Times New Roman" w:hAnsi="Times New Roman"/>
        </w:rPr>
        <w:t xml:space="preserve">he encounters both </w:t>
      </w:r>
      <w:r w:rsidR="001954F4" w:rsidRPr="007C5783">
        <w:rPr>
          <w:rFonts w:ascii="Times New Roman" w:hAnsi="Times New Roman"/>
        </w:rPr>
        <w:t>the reality of evil and the force of God’s Love a</w:t>
      </w:r>
      <w:r w:rsidR="00D8706B" w:rsidRPr="007C5783">
        <w:rPr>
          <w:rFonts w:ascii="Times New Roman" w:hAnsi="Times New Roman"/>
        </w:rPr>
        <w:t>nd Mercy.</w:t>
      </w:r>
      <w:r w:rsidR="004B24C5" w:rsidRPr="007C5783">
        <w:rPr>
          <w:rFonts w:ascii="Times New Roman" w:hAnsi="Times New Roman"/>
        </w:rPr>
        <w:t xml:space="preserve"> </w:t>
      </w:r>
      <w:r w:rsidR="00D8706B" w:rsidRPr="007C5783">
        <w:rPr>
          <w:rFonts w:ascii="Times New Roman" w:hAnsi="Times New Roman"/>
        </w:rPr>
        <w:t xml:space="preserve">Special emphasis on Irish writers will reveal the </w:t>
      </w:r>
      <w:r w:rsidR="001954F4" w:rsidRPr="007C5783">
        <w:rPr>
          <w:rFonts w:ascii="Times New Roman" w:hAnsi="Times New Roman"/>
        </w:rPr>
        <w:t>Truth of the redeeming nature of suffering, especially when leavened by the Faith.</w:t>
      </w:r>
    </w:p>
    <w:p w14:paraId="68619E57" w14:textId="77777777" w:rsidR="001954F4" w:rsidRPr="00A319EC" w:rsidRDefault="001954F4">
      <w:pPr>
        <w:rPr>
          <w:rFonts w:ascii="Times New Roman" w:hAnsi="Times New Roman"/>
          <w:sz w:val="16"/>
        </w:rPr>
      </w:pPr>
    </w:p>
    <w:p w14:paraId="04046339" w14:textId="77777777" w:rsidR="005B4A3E" w:rsidRPr="007C5783" w:rsidRDefault="009D61CF" w:rsidP="005B4A3E">
      <w:pPr>
        <w:tabs>
          <w:tab w:val="left" w:pos="2160"/>
        </w:tabs>
        <w:ind w:left="2160" w:hanging="2160"/>
        <w:rPr>
          <w:rFonts w:ascii="Times New Roman" w:hAnsi="Times New Roman"/>
        </w:rPr>
      </w:pPr>
      <w:r w:rsidRPr="007C5783">
        <w:rPr>
          <w:rFonts w:ascii="Times New Roman" w:hAnsi="Times New Roman"/>
          <w:b/>
        </w:rPr>
        <w:t>Required Reading</w:t>
      </w:r>
      <w:r w:rsidR="001954F4" w:rsidRPr="007C5783">
        <w:rPr>
          <w:rFonts w:ascii="Times New Roman" w:hAnsi="Times New Roman"/>
          <w:b/>
        </w:rPr>
        <w:t>:</w:t>
      </w:r>
      <w:r w:rsidR="004B24C5" w:rsidRPr="007C5783">
        <w:rPr>
          <w:rFonts w:ascii="Times New Roman" w:hAnsi="Times New Roman"/>
          <w:b/>
        </w:rPr>
        <w:t xml:space="preserve"> </w:t>
      </w:r>
      <w:r w:rsidR="005B4A3E" w:rsidRPr="007C5783">
        <w:rPr>
          <w:rFonts w:ascii="Times New Roman" w:hAnsi="Times New Roman"/>
          <w:b/>
        </w:rPr>
        <w:tab/>
      </w:r>
      <w:r w:rsidR="001954F4" w:rsidRPr="007C5783">
        <w:rPr>
          <w:rFonts w:ascii="Times New Roman" w:hAnsi="Times New Roman"/>
        </w:rPr>
        <w:t xml:space="preserve">Various short stories and a few poems by </w:t>
      </w:r>
      <w:r w:rsidR="005B4A3E" w:rsidRPr="007C5783">
        <w:rPr>
          <w:rFonts w:ascii="Times New Roman" w:hAnsi="Times New Roman"/>
        </w:rPr>
        <w:t xml:space="preserve">Continental and Irish writers, </w:t>
      </w:r>
      <w:r w:rsidR="001954F4" w:rsidRPr="007C5783">
        <w:rPr>
          <w:rFonts w:ascii="Times New Roman" w:hAnsi="Times New Roman"/>
        </w:rPr>
        <w:t>conveyed via internet.</w:t>
      </w:r>
    </w:p>
    <w:p w14:paraId="375F3F99" w14:textId="77777777" w:rsidR="005B4A3E" w:rsidRPr="007C5783" w:rsidRDefault="005B4A3E" w:rsidP="005B4A3E">
      <w:pPr>
        <w:tabs>
          <w:tab w:val="left" w:pos="2160"/>
        </w:tabs>
        <w:ind w:left="2160" w:hanging="2160"/>
        <w:rPr>
          <w:rFonts w:ascii="Times New Roman" w:hAnsi="Times New Roman"/>
          <w:b/>
        </w:rPr>
      </w:pPr>
    </w:p>
    <w:p w14:paraId="5C17ABC5" w14:textId="77777777" w:rsidR="001954F4" w:rsidRPr="007C5783" w:rsidRDefault="005B4A3E" w:rsidP="005B4A3E">
      <w:pPr>
        <w:tabs>
          <w:tab w:val="left" w:pos="2160"/>
        </w:tabs>
        <w:ind w:left="2160" w:hanging="2160"/>
        <w:rPr>
          <w:rFonts w:ascii="Times New Roman" w:hAnsi="Times New Roman"/>
        </w:rPr>
      </w:pPr>
      <w:r w:rsidRPr="007C5783">
        <w:rPr>
          <w:rFonts w:ascii="Times New Roman" w:hAnsi="Times New Roman"/>
          <w:b/>
        </w:rPr>
        <w:t>Requirements</w:t>
      </w:r>
      <w:r w:rsidR="001954F4" w:rsidRPr="007C5783">
        <w:rPr>
          <w:rFonts w:ascii="Times New Roman" w:hAnsi="Times New Roman"/>
          <w:b/>
        </w:rPr>
        <w:t>:</w:t>
      </w:r>
      <w:r w:rsidRPr="007C5783">
        <w:rPr>
          <w:rFonts w:ascii="Times New Roman" w:hAnsi="Times New Roman"/>
          <w:b/>
        </w:rPr>
        <w:tab/>
      </w:r>
      <w:r w:rsidR="001954F4" w:rsidRPr="007C5783">
        <w:rPr>
          <w:rFonts w:ascii="Times New Roman" w:hAnsi="Times New Roman"/>
        </w:rPr>
        <w:t xml:space="preserve">The grade for this class will be determined by </w:t>
      </w:r>
      <w:r w:rsidRPr="007C5783">
        <w:rPr>
          <w:rFonts w:ascii="Times New Roman" w:hAnsi="Times New Roman"/>
        </w:rPr>
        <w:t>class participation and a take-</w:t>
      </w:r>
      <w:r w:rsidR="001954F4" w:rsidRPr="007C5783">
        <w:rPr>
          <w:rFonts w:ascii="Times New Roman" w:hAnsi="Times New Roman"/>
        </w:rPr>
        <w:t>home final examination.</w:t>
      </w:r>
      <w:r w:rsidR="004B24C5" w:rsidRPr="007C5783">
        <w:rPr>
          <w:rFonts w:ascii="Times New Roman" w:hAnsi="Times New Roman"/>
        </w:rPr>
        <w:t xml:space="preserve"> </w:t>
      </w:r>
      <w:r w:rsidR="001954F4" w:rsidRPr="007C5783">
        <w:rPr>
          <w:rFonts w:ascii="Times New Roman" w:hAnsi="Times New Roman"/>
        </w:rPr>
        <w:t>Students must complete all assigned reading.</w:t>
      </w:r>
    </w:p>
    <w:p w14:paraId="13258095" w14:textId="77777777" w:rsidR="001954F4" w:rsidRPr="007C5783" w:rsidRDefault="001954F4">
      <w:pPr>
        <w:rPr>
          <w:rFonts w:ascii="Times New Roman" w:hAnsi="Times New Roman"/>
        </w:rPr>
      </w:pPr>
    </w:p>
    <w:tbl>
      <w:tblPr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410"/>
        <w:gridCol w:w="5058"/>
      </w:tblGrid>
      <w:tr w:rsidR="00493699" w:rsidRPr="00950CEB" w14:paraId="5904BF4E" w14:textId="77777777" w:rsidTr="002629FD">
        <w:trPr>
          <w:trHeight w:val="331"/>
        </w:trPr>
        <w:tc>
          <w:tcPr>
            <w:tcW w:w="1008" w:type="dxa"/>
            <w:tcBorders>
              <w:bottom w:val="nil"/>
            </w:tcBorders>
            <w:shd w:val="clear" w:color="auto" w:fill="000000"/>
            <w:vAlign w:val="center"/>
          </w:tcPr>
          <w:p w14:paraId="20C289B4" w14:textId="77777777" w:rsidR="00493699" w:rsidRPr="00950CEB" w:rsidRDefault="00493699" w:rsidP="000F3B05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>Date</w:t>
            </w:r>
          </w:p>
        </w:tc>
        <w:tc>
          <w:tcPr>
            <w:tcW w:w="4410" w:type="dxa"/>
            <w:tcBorders>
              <w:bottom w:val="nil"/>
            </w:tcBorders>
            <w:shd w:val="clear" w:color="auto" w:fill="000000"/>
            <w:vAlign w:val="center"/>
          </w:tcPr>
          <w:p w14:paraId="6229935C" w14:textId="77777777" w:rsidR="00493699" w:rsidRPr="00950CEB" w:rsidRDefault="00493699" w:rsidP="000F3B05">
            <w:pPr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>Assigned Reading</w:t>
            </w:r>
          </w:p>
        </w:tc>
        <w:tc>
          <w:tcPr>
            <w:tcW w:w="5058" w:type="dxa"/>
            <w:tcBorders>
              <w:bottom w:val="nil"/>
            </w:tcBorders>
            <w:shd w:val="clear" w:color="auto" w:fill="000000"/>
          </w:tcPr>
          <w:p w14:paraId="70070982" w14:textId="77777777" w:rsidR="00493699" w:rsidRPr="00950CEB" w:rsidRDefault="00493699" w:rsidP="000F3B05">
            <w:pPr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493699" w:rsidRPr="00950CEB" w14:paraId="7E92A4E1" w14:textId="77777777" w:rsidTr="004B6083">
        <w:trPr>
          <w:trHeight w:val="331"/>
        </w:trPr>
        <w:tc>
          <w:tcPr>
            <w:tcW w:w="10476" w:type="dxa"/>
            <w:gridSpan w:val="3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262BEF93" w14:textId="77777777" w:rsidR="00493699" w:rsidRPr="00950CEB" w:rsidRDefault="00493699" w:rsidP="00BD3BB1">
            <w:pPr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i/>
                <w:sz w:val="23"/>
                <w:szCs w:val="23"/>
              </w:rPr>
              <w:t>Week One</w:t>
            </w:r>
            <w:r w:rsidR="00BD3BB1" w:rsidRPr="00950CEB"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 </w:t>
            </w:r>
          </w:p>
        </w:tc>
      </w:tr>
      <w:tr w:rsidR="00493699" w:rsidRPr="00950CEB" w14:paraId="12D85A91" w14:textId="77777777" w:rsidTr="002629FD">
        <w:trPr>
          <w:trHeight w:val="331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CC3AB5" w14:textId="77777777" w:rsidR="00493699" w:rsidRPr="00950CEB" w:rsidRDefault="00950CEB" w:rsidP="00F94DD2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JUL </w:t>
            </w:r>
            <w:r w:rsidR="00F9588F" w:rsidRPr="00950CEB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0C0A" w14:textId="77777777" w:rsidR="00493699" w:rsidRPr="00950CEB" w:rsidRDefault="00493699" w:rsidP="00F94DD2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Sunrise on the Veld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D71D" w14:textId="77777777" w:rsidR="00493699" w:rsidRPr="00950CEB" w:rsidRDefault="00493699" w:rsidP="00F94DD2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Doris Lessing</w:t>
            </w:r>
          </w:p>
        </w:tc>
      </w:tr>
      <w:tr w:rsidR="00493699" w:rsidRPr="00950CEB" w14:paraId="74A12B03" w14:textId="77777777" w:rsidTr="002629FD">
        <w:trPr>
          <w:trHeight w:val="331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16CA" w14:textId="77777777" w:rsidR="00493699" w:rsidRPr="00950CEB" w:rsidRDefault="00950CEB" w:rsidP="00F94DD2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JUL </w:t>
            </w:r>
            <w:r w:rsidR="00E673C8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FA02" w14:textId="77777777" w:rsidR="00493699" w:rsidRPr="00950CEB" w:rsidRDefault="00493699" w:rsidP="00F94DD2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The Young King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E22A" w14:textId="77777777" w:rsidR="00493699" w:rsidRPr="00950CEB" w:rsidRDefault="002D4F39" w:rsidP="00F94DD2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Oscar Wilde</w:t>
            </w:r>
          </w:p>
        </w:tc>
      </w:tr>
      <w:tr w:rsidR="00493699" w:rsidRPr="00950CEB" w14:paraId="6C273DFF" w14:textId="77777777" w:rsidTr="002629FD">
        <w:trPr>
          <w:trHeight w:val="331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1669" w14:textId="77777777" w:rsidR="00493699" w:rsidRPr="00950CEB" w:rsidRDefault="00950CEB" w:rsidP="00F94DD2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JUL </w:t>
            </w:r>
            <w:r w:rsidR="00E673C8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B1F5" w14:textId="77777777" w:rsidR="00493699" w:rsidRPr="00950CEB" w:rsidRDefault="00CF4D03" w:rsidP="00CF4D03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sz w:val="23"/>
                <w:szCs w:val="23"/>
              </w:rPr>
              <w:t>Bishop Quinn and Lucifer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C87D" w14:textId="77777777" w:rsidR="00493699" w:rsidRPr="00950CEB" w:rsidRDefault="00CF4D03" w:rsidP="00CF4D03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Taylor Caldwell</w:t>
            </w:r>
          </w:p>
        </w:tc>
      </w:tr>
      <w:tr w:rsidR="00493699" w:rsidRPr="00950CEB" w14:paraId="404A79CA" w14:textId="77777777" w:rsidTr="002629FD">
        <w:trPr>
          <w:trHeight w:val="331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50A1" w14:textId="77777777" w:rsidR="00493699" w:rsidRPr="00950CEB" w:rsidRDefault="00E673C8" w:rsidP="00F94DD2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JUL 2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C0707" w14:textId="77777777" w:rsidR="00493699" w:rsidRPr="00950CEB" w:rsidRDefault="00493699" w:rsidP="00F94DD2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The Hint of an Explanation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8FE1" w14:textId="77777777" w:rsidR="00493699" w:rsidRPr="00950CEB" w:rsidRDefault="002D4F39" w:rsidP="00F94DD2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Graham Greene</w:t>
            </w:r>
          </w:p>
        </w:tc>
      </w:tr>
      <w:tr w:rsidR="00BD3BB1" w:rsidRPr="00950CEB" w14:paraId="1A88F265" w14:textId="77777777" w:rsidTr="002629FD">
        <w:trPr>
          <w:trHeight w:val="331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0610" w14:textId="77777777" w:rsidR="00BD3BB1" w:rsidRPr="00950CEB" w:rsidRDefault="00E673C8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JUL 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29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58D3" w14:textId="77777777" w:rsidR="00BD3BB1" w:rsidRPr="00950CEB" w:rsidRDefault="00BD3BB1" w:rsidP="00BD3BB1">
            <w:pPr>
              <w:rPr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The Dead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554B" w14:textId="77777777" w:rsidR="00BD3BB1" w:rsidRPr="00950CEB" w:rsidRDefault="00BD3BB1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James Joyce</w:t>
            </w:r>
          </w:p>
        </w:tc>
      </w:tr>
      <w:tr w:rsidR="00BD3BB1" w:rsidRPr="00950CEB" w14:paraId="140A2476" w14:textId="77777777" w:rsidTr="004B6083">
        <w:trPr>
          <w:trHeight w:val="331"/>
        </w:trPr>
        <w:tc>
          <w:tcPr>
            <w:tcW w:w="10476" w:type="dxa"/>
            <w:gridSpan w:val="3"/>
            <w:tcBorders>
              <w:top w:val="single" w:sz="4" w:space="0" w:color="000000"/>
              <w:bottom w:val="nil"/>
            </w:tcBorders>
            <w:shd w:val="clear" w:color="auto" w:fill="BFBFBF"/>
            <w:vAlign w:val="center"/>
          </w:tcPr>
          <w:p w14:paraId="12C7BF7F" w14:textId="77777777" w:rsidR="00BD3BB1" w:rsidRPr="00950CEB" w:rsidRDefault="00BD3BB1" w:rsidP="00BD3BB1">
            <w:pPr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i/>
                <w:sz w:val="23"/>
                <w:szCs w:val="23"/>
              </w:rPr>
              <w:t>Week Two</w:t>
            </w:r>
          </w:p>
        </w:tc>
      </w:tr>
      <w:tr w:rsidR="00BD3BB1" w:rsidRPr="00950CEB" w14:paraId="6E0A16A7" w14:textId="77777777" w:rsidTr="002629FD">
        <w:trPr>
          <w:trHeight w:val="331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25749E" w14:textId="77777777" w:rsidR="00BD3BB1" w:rsidRPr="00950CEB" w:rsidRDefault="00950CEB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AUG 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C29E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The Judgment of the Sea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EC7C" w14:textId="77777777" w:rsidR="00BD3BB1" w:rsidRPr="00950CEB" w:rsidRDefault="00BD3BB1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Gertrude von LeFort</w:t>
            </w:r>
          </w:p>
        </w:tc>
      </w:tr>
      <w:tr w:rsidR="00BD3BB1" w:rsidRPr="00950CEB" w14:paraId="261F8165" w14:textId="77777777" w:rsidTr="002629FD">
        <w:trPr>
          <w:trHeight w:val="331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3FB0F" w14:textId="77777777" w:rsidR="00BD3BB1" w:rsidRPr="00950CEB" w:rsidRDefault="00950CEB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AUG 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21A0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Matryona’s House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D349" w14:textId="77777777" w:rsidR="00BD3BB1" w:rsidRPr="00950CEB" w:rsidRDefault="00BD3BB1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Alexander Solzhenitsyn</w:t>
            </w:r>
          </w:p>
        </w:tc>
      </w:tr>
      <w:tr w:rsidR="00BD3BB1" w:rsidRPr="00950CEB" w14:paraId="6DDC37F9" w14:textId="77777777" w:rsidTr="002629FD">
        <w:trPr>
          <w:trHeight w:val="331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3CC7F" w14:textId="77777777" w:rsidR="00BD3BB1" w:rsidRPr="00950CEB" w:rsidRDefault="00950CEB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AUG 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DE96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The Father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C7AF" w14:textId="77777777" w:rsidR="00BD3BB1" w:rsidRPr="00950CEB" w:rsidRDefault="00BD3BB1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Caryll Houselander</w:t>
            </w:r>
          </w:p>
        </w:tc>
      </w:tr>
      <w:tr w:rsidR="00BD3BB1" w:rsidRPr="00950CEB" w14:paraId="1370DED6" w14:textId="77777777" w:rsidTr="002629FD">
        <w:trPr>
          <w:trHeight w:val="331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C3C86" w14:textId="77777777" w:rsidR="00BD3BB1" w:rsidRPr="00950CEB" w:rsidRDefault="00950CEB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AUG 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BE44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The Dead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0B85" w14:textId="77777777" w:rsidR="00BD3BB1" w:rsidRPr="00950CEB" w:rsidRDefault="00BD3BB1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James Joyce</w:t>
            </w:r>
          </w:p>
        </w:tc>
      </w:tr>
      <w:tr w:rsidR="00BD3BB1" w:rsidRPr="00950CEB" w14:paraId="4714B6D4" w14:textId="77777777" w:rsidTr="002629FD">
        <w:trPr>
          <w:trHeight w:val="331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17255" w14:textId="77777777" w:rsidR="00BD3BB1" w:rsidRPr="00950CEB" w:rsidRDefault="00950CEB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AUG 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C28BA" w14:textId="77777777" w:rsidR="00BD3BB1" w:rsidRPr="00950CEB" w:rsidRDefault="00BD3BB1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Civil War; The Sniper; Easter 1916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5F87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Liam O’Flaherty; Liam O’Flaherty; W.B. Yeats</w:t>
            </w:r>
          </w:p>
        </w:tc>
      </w:tr>
      <w:tr w:rsidR="00BD3BB1" w:rsidRPr="00950CEB" w14:paraId="7C587C29" w14:textId="77777777" w:rsidTr="004B6083">
        <w:trPr>
          <w:trHeight w:val="331"/>
        </w:trPr>
        <w:tc>
          <w:tcPr>
            <w:tcW w:w="10476" w:type="dxa"/>
            <w:gridSpan w:val="3"/>
            <w:tcBorders>
              <w:top w:val="nil"/>
              <w:bottom w:val="nil"/>
            </w:tcBorders>
            <w:shd w:val="clear" w:color="auto" w:fill="BFBFBF"/>
            <w:vAlign w:val="center"/>
          </w:tcPr>
          <w:p w14:paraId="00B6B55E" w14:textId="77777777" w:rsidR="00BD3BB1" w:rsidRPr="00950CEB" w:rsidRDefault="00BD3BB1" w:rsidP="00BD3BB1">
            <w:pPr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i/>
                <w:sz w:val="23"/>
                <w:szCs w:val="23"/>
              </w:rPr>
              <w:t>Week Three</w:t>
            </w:r>
          </w:p>
        </w:tc>
      </w:tr>
      <w:tr w:rsidR="00BD3BB1" w:rsidRPr="00950CEB" w14:paraId="2DC39A29" w14:textId="77777777" w:rsidTr="002629FD">
        <w:trPr>
          <w:trHeight w:val="331"/>
        </w:trPr>
        <w:tc>
          <w:tcPr>
            <w:tcW w:w="1008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026C1" w14:textId="77777777" w:rsidR="00BD3BB1" w:rsidRPr="00950CEB" w:rsidRDefault="00950CEB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AUG</w:t>
            </w:r>
            <w:r w:rsidR="00BD3BB1"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8</w:t>
            </w:r>
          </w:p>
        </w:tc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BB37" w14:textId="77777777" w:rsidR="00BD3BB1" w:rsidRPr="00950CEB" w:rsidRDefault="00BD3BB1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sz w:val="23"/>
                <w:szCs w:val="23"/>
              </w:rPr>
              <w:t>Guest of the Nation</w:t>
            </w:r>
          </w:p>
        </w:tc>
        <w:tc>
          <w:tcPr>
            <w:tcW w:w="50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058C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Frank O’Connor</w:t>
            </w:r>
          </w:p>
        </w:tc>
      </w:tr>
      <w:tr w:rsidR="00BD3BB1" w:rsidRPr="00950CEB" w14:paraId="0FD80C2A" w14:textId="77777777" w:rsidTr="002629FD">
        <w:trPr>
          <w:trHeight w:val="331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E99E" w14:textId="77777777" w:rsidR="00BD3BB1" w:rsidRPr="00950CEB" w:rsidRDefault="00950CEB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AUG</w:t>
            </w:r>
            <w:r w:rsidR="00BD3BB1"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1A40" w14:textId="77777777" w:rsidR="00BD3BB1" w:rsidRPr="00950CEB" w:rsidRDefault="00BD3BB1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God Made Sunday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10E0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Walter Macken</w:t>
            </w:r>
          </w:p>
        </w:tc>
      </w:tr>
      <w:tr w:rsidR="00BD3BB1" w:rsidRPr="00950CEB" w14:paraId="778253BD" w14:textId="77777777" w:rsidTr="002629FD">
        <w:trPr>
          <w:trHeight w:val="395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4FDE" w14:textId="77777777" w:rsidR="00BD3BB1" w:rsidRPr="00950CEB" w:rsidRDefault="00950CEB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AUG</w:t>
            </w:r>
            <w:r w:rsidR="00BD3BB1" w:rsidRPr="00950CEB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 w:rsidR="00E673C8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  <w:r w:rsidR="00787A3F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E2B9" w14:textId="77777777" w:rsidR="00BD3BB1" w:rsidRPr="00950CEB" w:rsidRDefault="00BD3BB1" w:rsidP="00BD3BB1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God Made Sunday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9C69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Walter Macken</w:t>
            </w:r>
          </w:p>
        </w:tc>
      </w:tr>
    </w:tbl>
    <w:p w14:paraId="5DD37391" w14:textId="77777777" w:rsidR="000D6678" w:rsidRPr="00950CEB" w:rsidRDefault="000D6678">
      <w:pPr>
        <w:rPr>
          <w:sz w:val="23"/>
          <w:szCs w:val="23"/>
        </w:rPr>
      </w:pP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6390"/>
      </w:tblGrid>
      <w:tr w:rsidR="000D6678" w:rsidRPr="00950CEB" w14:paraId="08E65DC7" w14:textId="77777777" w:rsidTr="00154387">
        <w:trPr>
          <w:trHeight w:val="395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6FE6" w14:textId="77777777" w:rsidR="000D6678" w:rsidRPr="00950CEB" w:rsidRDefault="000D6678" w:rsidP="007142F6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Optional Evening Discussions (</w:t>
            </w:r>
            <w:r w:rsidR="00154387" w:rsidRPr="00950CEB">
              <w:rPr>
                <w:rFonts w:ascii="Times New Roman" w:hAnsi="Times New Roman"/>
                <w:i/>
                <w:sz w:val="23"/>
                <w:szCs w:val="23"/>
              </w:rPr>
              <w:t>for fun</w:t>
            </w:r>
            <w:r w:rsidRPr="00950CEB">
              <w:rPr>
                <w:rFonts w:ascii="Times New Roman" w:hAnsi="Times New Roman"/>
                <w:sz w:val="23"/>
                <w:szCs w:val="23"/>
              </w:rPr>
              <w:t xml:space="preserve">)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28573" w14:textId="77777777" w:rsidR="000D6678" w:rsidRPr="00950CEB" w:rsidRDefault="000D6678" w:rsidP="00FB1F20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 xml:space="preserve">The Currach Race; </w:t>
            </w:r>
            <w:r w:rsidR="00CF4D03" w:rsidRPr="00950CEB">
              <w:rPr>
                <w:rFonts w:ascii="Times New Roman" w:hAnsi="Times New Roman"/>
                <w:sz w:val="23"/>
                <w:szCs w:val="23"/>
              </w:rPr>
              <w:t>Going into Exile; Spring Sowing; The Fur Coat</w:t>
            </w:r>
          </w:p>
        </w:tc>
      </w:tr>
      <w:tr w:rsidR="000D6678" w:rsidRPr="00950CEB" w14:paraId="79E5B4C2" w14:textId="77777777" w:rsidTr="00154387">
        <w:trPr>
          <w:trHeight w:val="395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5C56" w14:textId="77777777" w:rsidR="000D6678" w:rsidRPr="00950CEB" w:rsidRDefault="000D6678" w:rsidP="007142F6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>Optional Evening of Poetry (TBA)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AF5D5" w14:textId="77777777" w:rsidR="000D6678" w:rsidRPr="00950CEB" w:rsidRDefault="000D6678" w:rsidP="007142F6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950CEB">
              <w:rPr>
                <w:rFonts w:ascii="Times New Roman" w:hAnsi="Times New Roman"/>
                <w:sz w:val="23"/>
                <w:szCs w:val="23"/>
              </w:rPr>
              <w:t xml:space="preserve">Ethna Carbery | </w:t>
            </w:r>
            <w:r w:rsidRPr="00950CEB">
              <w:rPr>
                <w:rFonts w:ascii="Times New Roman" w:hAnsi="Times New Roman"/>
                <w:i/>
                <w:sz w:val="23"/>
                <w:szCs w:val="23"/>
              </w:rPr>
              <w:t>Please feel free to bring your own favorites!</w:t>
            </w:r>
          </w:p>
        </w:tc>
      </w:tr>
      <w:tr w:rsidR="00BD3BB1" w:rsidRPr="00950CEB" w14:paraId="2090EF34" w14:textId="77777777" w:rsidTr="00BD3BB1">
        <w:trPr>
          <w:trHeight w:val="395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6225" w14:textId="77777777" w:rsidR="00BD3BB1" w:rsidRPr="00950CEB" w:rsidRDefault="00BD3BB1" w:rsidP="00BD3BB1">
            <w:pPr>
              <w:rPr>
                <w:sz w:val="23"/>
                <w:szCs w:val="23"/>
              </w:rPr>
            </w:pPr>
            <w:r w:rsidRPr="00950CEB">
              <w:rPr>
                <w:sz w:val="23"/>
                <w:szCs w:val="23"/>
              </w:rPr>
              <w:t>Cathleen Ni Houlihan &amp; Yeats poems</w:t>
            </w:r>
          </w:p>
          <w:p w14:paraId="4C462664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sz w:val="23"/>
                <w:szCs w:val="23"/>
              </w:rPr>
              <w:tab/>
            </w:r>
            <w:r w:rsidRPr="00950CEB">
              <w:rPr>
                <w:sz w:val="23"/>
                <w:szCs w:val="23"/>
              </w:rPr>
              <w:tab/>
              <w:t>Recessional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BBB65" w14:textId="77777777" w:rsidR="00BD3BB1" w:rsidRPr="00950CEB" w:rsidRDefault="00BD3BB1" w:rsidP="00BD3BB1">
            <w:pPr>
              <w:rPr>
                <w:rFonts w:ascii="Times New Roman" w:hAnsi="Times New Roman"/>
                <w:sz w:val="23"/>
                <w:szCs w:val="23"/>
              </w:rPr>
            </w:pPr>
            <w:r w:rsidRPr="00950CEB">
              <w:rPr>
                <w:rFonts w:ascii="Times New Roman" w:hAnsi="Times New Roman"/>
                <w:bCs/>
                <w:sz w:val="23"/>
                <w:szCs w:val="23"/>
              </w:rPr>
              <w:t>W. B Yeats</w:t>
            </w:r>
          </w:p>
        </w:tc>
      </w:tr>
    </w:tbl>
    <w:p w14:paraId="73356BBD" w14:textId="77777777" w:rsidR="001954F4" w:rsidRPr="00732D74" w:rsidRDefault="001954F4" w:rsidP="00630B6A">
      <w:pPr>
        <w:rPr>
          <w:rFonts w:ascii="Times New Roman" w:hAnsi="Times New Roman"/>
          <w:sz w:val="22"/>
          <w:szCs w:val="22"/>
        </w:rPr>
      </w:pPr>
    </w:p>
    <w:sectPr w:rsidR="001954F4" w:rsidRPr="00732D74" w:rsidSect="00DB526A">
      <w:pgSz w:w="12240" w:h="15840"/>
      <w:pgMar w:top="630" w:right="1080" w:bottom="72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5B12"/>
    <w:rsid w:val="00015900"/>
    <w:rsid w:val="00066ECA"/>
    <w:rsid w:val="000B5F71"/>
    <w:rsid w:val="000D6678"/>
    <w:rsid w:val="000F3B05"/>
    <w:rsid w:val="00154387"/>
    <w:rsid w:val="001954F4"/>
    <w:rsid w:val="002629FD"/>
    <w:rsid w:val="0028316A"/>
    <w:rsid w:val="002D4F39"/>
    <w:rsid w:val="00354BFD"/>
    <w:rsid w:val="00364587"/>
    <w:rsid w:val="004743F0"/>
    <w:rsid w:val="00493699"/>
    <w:rsid w:val="004B24C5"/>
    <w:rsid w:val="004B6083"/>
    <w:rsid w:val="004C68C3"/>
    <w:rsid w:val="005B4A3E"/>
    <w:rsid w:val="00630B6A"/>
    <w:rsid w:val="006602B4"/>
    <w:rsid w:val="007142F6"/>
    <w:rsid w:val="00732D74"/>
    <w:rsid w:val="00787A3F"/>
    <w:rsid w:val="007C5783"/>
    <w:rsid w:val="007F449D"/>
    <w:rsid w:val="00841DCD"/>
    <w:rsid w:val="0089561F"/>
    <w:rsid w:val="00950CEB"/>
    <w:rsid w:val="009C0C00"/>
    <w:rsid w:val="009D61CF"/>
    <w:rsid w:val="009F6B28"/>
    <w:rsid w:val="00A056AA"/>
    <w:rsid w:val="00A319EC"/>
    <w:rsid w:val="00B55207"/>
    <w:rsid w:val="00B712FB"/>
    <w:rsid w:val="00BD3BB1"/>
    <w:rsid w:val="00C22744"/>
    <w:rsid w:val="00C71B28"/>
    <w:rsid w:val="00CF4D03"/>
    <w:rsid w:val="00D8706B"/>
    <w:rsid w:val="00DB526A"/>
    <w:rsid w:val="00DE0C28"/>
    <w:rsid w:val="00E04522"/>
    <w:rsid w:val="00E05EDC"/>
    <w:rsid w:val="00E32670"/>
    <w:rsid w:val="00E673C8"/>
    <w:rsid w:val="00E86DD5"/>
    <w:rsid w:val="00EC5F8F"/>
    <w:rsid w:val="00F6469C"/>
    <w:rsid w:val="00F94DD2"/>
    <w:rsid w:val="00F9588F"/>
    <w:rsid w:val="00FB1F2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76F57"/>
  <w15:chartTrackingRefBased/>
  <w15:docId w15:val="{50C7028B-3B20-4791-9D29-64C9D20E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AE9"/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16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Hickson</dc:creator>
  <cp:keywords/>
  <cp:lastModifiedBy>Brenda Seelbach</cp:lastModifiedBy>
  <cp:revision>2</cp:revision>
  <cp:lastPrinted>2016-06-23T18:29:00Z</cp:lastPrinted>
  <dcterms:created xsi:type="dcterms:W3CDTF">2022-06-06T14:16:00Z</dcterms:created>
  <dcterms:modified xsi:type="dcterms:W3CDTF">2022-06-06T14:16:00Z</dcterms:modified>
</cp:coreProperties>
</file>